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006806">
        <w:rPr>
          <w:rFonts w:cs="Arial"/>
          <w:b/>
          <w:bCs/>
        </w:rPr>
        <w:t>1</w:t>
      </w:r>
      <w:r w:rsidR="00A32A7B">
        <w:rPr>
          <w:rFonts w:cs="Arial"/>
          <w:b/>
          <w:bCs/>
        </w:rPr>
        <w:t>5</w:t>
      </w:r>
      <w:r w:rsidR="00AA7C75">
        <w:rPr>
          <w:rFonts w:cs="Arial"/>
          <w:b/>
          <w:bCs/>
        </w:rPr>
        <w:t xml:space="preserve"> </w:t>
      </w:r>
      <w:r w:rsidR="00006806">
        <w:rPr>
          <w:rFonts w:cs="Arial"/>
          <w:b/>
          <w:bCs/>
        </w:rPr>
        <w:t>September</w:t>
      </w:r>
      <w:r w:rsidR="00EE5600">
        <w:rPr>
          <w:rFonts w:cs="Arial"/>
          <w:b/>
          <w:bCs/>
        </w:rPr>
        <w:t xml:space="preserve"> 2015</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Risk Management Quarterly Reporting</w:t>
      </w:r>
      <w:r w:rsidR="00A91CBA">
        <w:rPr>
          <w:rFonts w:cs="Arial"/>
          <w:b/>
          <w:bCs/>
        </w:rPr>
        <w:t>: Quarter 1 2015/16</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the end of Quarter </w:t>
      </w:r>
      <w:r w:rsidR="00A91CBA">
        <w:rPr>
          <w:rFonts w:cs="Arial"/>
        </w:rPr>
        <w:t>1</w:t>
      </w:r>
      <w:r w:rsidR="00A91CBA" w:rsidRPr="00A91CBA">
        <w:rPr>
          <w:rFonts w:cs="Arial"/>
        </w:rPr>
        <w:t>, 3</w:t>
      </w:r>
      <w:r w:rsidR="00A91CBA">
        <w:rPr>
          <w:rFonts w:cs="Arial"/>
        </w:rPr>
        <w:t>0</w:t>
      </w:r>
      <w:r w:rsidR="00A91CBA" w:rsidRPr="00A91CBA">
        <w:rPr>
          <w:rFonts w:cs="Arial"/>
          <w:vertAlign w:val="superscript"/>
        </w:rPr>
        <w:t>th</w:t>
      </w:r>
      <w:r w:rsidR="00A91CBA">
        <w:rPr>
          <w:rFonts w:cs="Arial"/>
        </w:rPr>
        <w:t xml:space="preserve"> June 2015</w:t>
      </w:r>
      <w:r w:rsidR="00A91CBA" w:rsidRPr="00A91CBA">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Efficient and effective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CE3DFC" w:rsidRPr="00A32A7B" w:rsidRDefault="000C5DA1" w:rsidP="005D4C4D">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3D700B" w:rsidRPr="00AC6D86">
        <w:rPr>
          <w:rFonts w:cs="Arial"/>
        </w:rPr>
        <w:t xml:space="preserve">That the </w:t>
      </w:r>
      <w:r w:rsidR="00AC4B4B" w:rsidRPr="00AC6D86">
        <w:rPr>
          <w:rFonts w:cs="Arial"/>
        </w:rPr>
        <w:t>C</w:t>
      </w:r>
      <w:r w:rsidR="00A32A7B" w:rsidRPr="00AC6D86">
        <w:rPr>
          <w:rFonts w:cs="Arial"/>
        </w:rPr>
        <w:t xml:space="preserve">ommittee </w:t>
      </w:r>
      <w:r w:rsidR="004C0C0E">
        <w:rPr>
          <w:rFonts w:cs="Arial"/>
        </w:rPr>
        <w:t>n</w:t>
      </w:r>
      <w:r w:rsidR="00A32A7B" w:rsidRPr="004C0C0E">
        <w:rPr>
          <w:rFonts w:cs="Arial"/>
        </w:rPr>
        <w:t>ote</w:t>
      </w:r>
      <w:r w:rsidR="00A91CBA" w:rsidRPr="004C0C0E">
        <w:rPr>
          <w:rFonts w:cs="Arial"/>
        </w:rPr>
        <w:t>s</w:t>
      </w:r>
      <w:r w:rsidR="00A32A7B">
        <w:rPr>
          <w:rFonts w:cs="Arial"/>
        </w:rPr>
        <w:t xml:space="preserve"> </w:t>
      </w:r>
      <w:r w:rsidR="00A91CBA" w:rsidRPr="00A91CBA">
        <w:rPr>
          <w:rFonts w:cs="Arial"/>
        </w:rPr>
        <w:t>the contents of this report</w:t>
      </w:r>
      <w:r w:rsidR="004C0C0E">
        <w:rPr>
          <w:rFonts w:cs="Arial"/>
        </w:rPr>
        <w:t xml:space="preserve">, in particular the new Corporate Risk around the Medium Term Financial Plan and the impact of the </w:t>
      </w:r>
      <w:r w:rsidR="00976E30">
        <w:rPr>
          <w:rFonts w:cs="Arial"/>
        </w:rPr>
        <w:t xml:space="preserve">temporary </w:t>
      </w:r>
      <w:r w:rsidR="004C0C0E">
        <w:rPr>
          <w:rFonts w:cs="Arial"/>
        </w:rPr>
        <w:t>moratorium on the Capital Programme</w:t>
      </w:r>
      <w:r w:rsidR="00976E30">
        <w:rPr>
          <w:rFonts w:cs="Arial"/>
        </w:rPr>
        <w:t xml:space="preserve"> as set out in paragraph 8</w:t>
      </w:r>
      <w:r w:rsidR="00A91CBA" w:rsidRPr="00A91CBA">
        <w:rPr>
          <w:rFonts w:cs="Arial"/>
        </w:rPr>
        <w:t>.</w:t>
      </w: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rPr>
      </w:pPr>
      <w:r>
        <w:rPr>
          <w:rFonts w:cs="Arial"/>
          <w:b/>
        </w:rPr>
        <w:t xml:space="preserve">Appendix </w:t>
      </w:r>
      <w:proofErr w:type="gramStart"/>
      <w:r>
        <w:rPr>
          <w:rFonts w:cs="Arial"/>
          <w:b/>
        </w:rPr>
        <w:t>A</w:t>
      </w:r>
      <w:proofErr w:type="gramEnd"/>
      <w:r>
        <w:rPr>
          <w:rFonts w:cs="Arial"/>
          <w:b/>
        </w:rPr>
        <w:tab/>
        <w:t>Corporate Risk Register</w:t>
      </w:r>
    </w:p>
    <w:p w:rsidR="002D3856" w:rsidRDefault="002D3856" w:rsidP="002D3856">
      <w:pPr>
        <w:rPr>
          <w:rFonts w:cs="Arial"/>
        </w:rPr>
      </w:pPr>
    </w:p>
    <w:p w:rsidR="00AE0538" w:rsidRDefault="00A91CBA" w:rsidP="002D3856">
      <w:pPr>
        <w:rPr>
          <w:rFonts w:cs="Arial"/>
          <w:b/>
        </w:rPr>
      </w:pPr>
      <w:r>
        <w:rPr>
          <w:rFonts w:cs="Arial"/>
          <w:b/>
        </w:rPr>
        <w:t>Risk Scoring Matrix</w:t>
      </w:r>
    </w:p>
    <w:p w:rsidR="00AE0538" w:rsidRDefault="00AE0538" w:rsidP="002D3856">
      <w:pPr>
        <w:rPr>
          <w:rFonts w:cs="Arial"/>
        </w:rPr>
      </w:pPr>
    </w:p>
    <w:p w:rsidR="00A32A7B" w:rsidRDefault="00A91CBA" w:rsidP="00A32A7B">
      <w:pPr>
        <w:numPr>
          <w:ilvl w:val="0"/>
          <w:numId w:val="1"/>
        </w:numPr>
        <w:ind w:left="426" w:hanging="426"/>
        <w:rPr>
          <w:rFonts w:cs="Arial"/>
        </w:rPr>
      </w:pPr>
      <w:r w:rsidRPr="00A91CBA">
        <w:rPr>
          <w:rFonts w:cs="Arial"/>
        </w:rPr>
        <w:t>The Council</w:t>
      </w:r>
      <w:r>
        <w:rPr>
          <w:rFonts w:cs="Arial"/>
        </w:rPr>
        <w:t xml:space="preserve"> operates a ‘five by five’</w:t>
      </w:r>
      <w:r w:rsidRPr="00A91CBA">
        <w:rPr>
          <w:rFonts w:cs="Arial"/>
        </w:rPr>
        <w:t xml:space="preserve"> </w:t>
      </w:r>
      <w:r>
        <w:rPr>
          <w:rFonts w:cs="Arial"/>
        </w:rPr>
        <w:t xml:space="preserve">scoring matrix.  The </w:t>
      </w:r>
      <w:r w:rsidRPr="00A91CBA">
        <w:rPr>
          <w:rFonts w:cs="Arial"/>
        </w:rPr>
        <w:t>methodology for scoring risks is set out below along with a copy of the scoring matrix</w:t>
      </w:r>
      <w:r>
        <w:rPr>
          <w:rFonts w:cs="Arial"/>
        </w:rPr>
        <w:t xml:space="preserve">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472446" w:rsidRDefault="00472446" w:rsidP="00472446">
      <w:pPr>
        <w:pStyle w:val="ListParagraph"/>
        <w:rPr>
          <w:rFonts w:cs="Arial"/>
        </w:rPr>
      </w:pPr>
    </w:p>
    <w:p w:rsidR="00472446" w:rsidRDefault="00472446" w:rsidP="00472446">
      <w:pPr>
        <w:ind w:left="426"/>
        <w:rPr>
          <w:rFonts w:cs="Arial"/>
        </w:rPr>
      </w:pPr>
    </w:p>
    <w:p w:rsidR="0032749E" w:rsidRDefault="0032749E" w:rsidP="0032749E">
      <w:pPr>
        <w:pStyle w:val="ListParagraph"/>
        <w:ind w:left="426"/>
        <w:rPr>
          <w:rFonts w:cs="Arial"/>
        </w:rPr>
      </w:pPr>
    </w:p>
    <w:tbl>
      <w:tblPr>
        <w:tblW w:w="9119" w:type="dxa"/>
        <w:tblInd w:w="-601" w:type="dxa"/>
        <w:tblLook w:val="04A0" w:firstRow="1" w:lastRow="0" w:firstColumn="1" w:lastColumn="0" w:noHBand="0" w:noVBand="1"/>
      </w:tblPr>
      <w:tblGrid>
        <w:gridCol w:w="1562"/>
        <w:gridCol w:w="1100"/>
        <w:gridCol w:w="1340"/>
        <w:gridCol w:w="1340"/>
        <w:gridCol w:w="1340"/>
        <w:gridCol w:w="1340"/>
        <w:gridCol w:w="1349"/>
      </w:tblGrid>
      <w:tr w:rsidR="00B5477F" w:rsidRPr="00B5477F" w:rsidTr="00472446">
        <w:trPr>
          <w:trHeight w:val="315"/>
        </w:trPr>
        <w:tc>
          <w:tcPr>
            <w:tcW w:w="1562"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Probability</w:t>
            </w:r>
          </w:p>
        </w:tc>
        <w:tc>
          <w:tcPr>
            <w:tcW w:w="848"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9"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r>
      <w:tr w:rsidR="00B5477F" w:rsidRPr="00B5477F" w:rsidTr="00472446">
        <w:trPr>
          <w:trHeight w:val="600"/>
        </w:trPr>
        <w:tc>
          <w:tcPr>
            <w:tcW w:w="1562" w:type="dxa"/>
            <w:tcBorders>
              <w:top w:val="nil"/>
              <w:left w:val="nil"/>
              <w:bottom w:val="nil"/>
              <w:right w:val="nil"/>
            </w:tcBorders>
            <w:shd w:val="clear" w:color="auto" w:fill="auto"/>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Almost</w:t>
            </w:r>
            <w:r w:rsidRPr="00B5477F">
              <w:rPr>
                <w:rFonts w:ascii="Verdana" w:hAnsi="Verdana" w:cs="Arial"/>
                <w:color w:val="000000"/>
                <w:sz w:val="20"/>
                <w:szCs w:val="20"/>
                <w:lang w:eastAsia="en-GB"/>
              </w:rPr>
              <w:br/>
              <w:t>Certain</w:t>
            </w:r>
          </w:p>
        </w:tc>
        <w:tc>
          <w:tcPr>
            <w:tcW w:w="848"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c>
          <w:tcPr>
            <w:tcW w:w="1340" w:type="dxa"/>
            <w:tcBorders>
              <w:top w:val="single" w:sz="12" w:space="0" w:color="auto"/>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c>
          <w:tcPr>
            <w:tcW w:w="1340" w:type="dxa"/>
            <w:tcBorders>
              <w:top w:val="single" w:sz="12" w:space="0" w:color="auto"/>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c>
          <w:tcPr>
            <w:tcW w:w="1349" w:type="dxa"/>
            <w:tcBorders>
              <w:top w:val="single" w:sz="12" w:space="0" w:color="auto"/>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25</w:t>
            </w:r>
          </w:p>
        </w:tc>
      </w:tr>
      <w:tr w:rsidR="00B5477F" w:rsidRPr="00B5477F" w:rsidTr="00472446">
        <w:trPr>
          <w:trHeight w:val="600"/>
        </w:trPr>
        <w:tc>
          <w:tcPr>
            <w:tcW w:w="1562"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Likely</w:t>
            </w:r>
          </w:p>
        </w:tc>
        <w:tc>
          <w:tcPr>
            <w:tcW w:w="848"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16</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r>
      <w:tr w:rsidR="00B5477F" w:rsidRPr="00B5477F" w:rsidTr="00472446">
        <w:trPr>
          <w:trHeight w:val="600"/>
        </w:trPr>
        <w:tc>
          <w:tcPr>
            <w:tcW w:w="1562"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Possible</w:t>
            </w:r>
          </w:p>
        </w:tc>
        <w:tc>
          <w:tcPr>
            <w:tcW w:w="848"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9</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r>
      <w:tr w:rsidR="00B5477F" w:rsidRPr="00B5477F" w:rsidTr="00472446">
        <w:trPr>
          <w:trHeight w:val="600"/>
        </w:trPr>
        <w:tc>
          <w:tcPr>
            <w:tcW w:w="1562"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Unlikely</w:t>
            </w:r>
          </w:p>
        </w:tc>
        <w:tc>
          <w:tcPr>
            <w:tcW w:w="848"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9" w:type="dxa"/>
            <w:tcBorders>
              <w:top w:val="nil"/>
              <w:left w:val="nil"/>
              <w:bottom w:val="nil"/>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r>
      <w:tr w:rsidR="00B5477F" w:rsidRPr="00B5477F" w:rsidTr="00472446">
        <w:trPr>
          <w:trHeight w:val="600"/>
        </w:trPr>
        <w:tc>
          <w:tcPr>
            <w:tcW w:w="1562"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Rare</w:t>
            </w:r>
          </w:p>
        </w:tc>
        <w:tc>
          <w:tcPr>
            <w:tcW w:w="848"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9" w:type="dxa"/>
            <w:tcBorders>
              <w:top w:val="nil"/>
              <w:left w:val="nil"/>
              <w:bottom w:val="single" w:sz="12" w:space="0" w:color="auto"/>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r>
      <w:tr w:rsidR="00B5477F" w:rsidRPr="00B5477F" w:rsidTr="00472446">
        <w:trPr>
          <w:trHeight w:val="315"/>
        </w:trPr>
        <w:tc>
          <w:tcPr>
            <w:tcW w:w="1562"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848"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9"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r>
      <w:tr w:rsidR="00B5477F" w:rsidRPr="00B5477F" w:rsidTr="00472446">
        <w:trPr>
          <w:trHeight w:val="300"/>
        </w:trPr>
        <w:tc>
          <w:tcPr>
            <w:tcW w:w="1562"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18"/>
                <w:szCs w:val="18"/>
                <w:lang w:eastAsia="en-GB"/>
              </w:rPr>
            </w:pPr>
          </w:p>
        </w:tc>
        <w:tc>
          <w:tcPr>
            <w:tcW w:w="848"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Impact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Insignificant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Minor</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Moderate</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Major</w:t>
            </w:r>
          </w:p>
        </w:tc>
        <w:tc>
          <w:tcPr>
            <w:tcW w:w="1349"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Catastrophic</w:t>
            </w:r>
          </w:p>
        </w:tc>
      </w:tr>
    </w:tbl>
    <w:p w:rsidR="00B5477F" w:rsidRDefault="00B5477F" w:rsidP="0032749E">
      <w:pPr>
        <w:pStyle w:val="ListParagraph"/>
        <w:ind w:left="426"/>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472446" w:rsidRPr="00472446" w:rsidRDefault="00472446" w:rsidP="00472446">
      <w:pPr>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Default="00A91CBA" w:rsidP="0032749E">
      <w:pPr>
        <w:pStyle w:val="ListParagraph"/>
        <w:ind w:left="426"/>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for corporate risks are generally at Director </w:t>
      </w:r>
      <w:proofErr w:type="gramStart"/>
      <w:r w:rsidRPr="00A91CBA">
        <w:rPr>
          <w:rFonts w:cs="Arial"/>
        </w:rPr>
        <w:t>level</w:t>
      </w:r>
      <w:proofErr w:type="gramEnd"/>
      <w:r w:rsidRPr="00A91CBA">
        <w:rPr>
          <w:rFonts w:cs="Arial"/>
        </w:rPr>
        <w:t>.</w:t>
      </w:r>
    </w:p>
    <w:p w:rsidR="00A91CBA" w:rsidRDefault="00A91CBA" w:rsidP="00A91CBA">
      <w:pPr>
        <w:ind w:left="426"/>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Default="001135F8" w:rsidP="001135F8">
      <w:pPr>
        <w:pStyle w:val="ListParagraph"/>
        <w:ind w:left="426"/>
        <w:rPr>
          <w:rFonts w:cs="Arial"/>
        </w:rPr>
      </w:pPr>
    </w:p>
    <w:p w:rsidR="001135F8" w:rsidRDefault="001135F8" w:rsidP="00A32A7B">
      <w:pPr>
        <w:numPr>
          <w:ilvl w:val="0"/>
          <w:numId w:val="1"/>
        </w:numPr>
        <w:ind w:left="426" w:hanging="426"/>
        <w:rPr>
          <w:rFonts w:cs="Arial"/>
        </w:rPr>
      </w:pPr>
      <w:r w:rsidRPr="001135F8">
        <w:rPr>
          <w:rFonts w:cs="Arial"/>
          <w:b/>
        </w:rPr>
        <w:t xml:space="preserve">Project and Programme Risk – </w:t>
      </w:r>
      <w:r w:rsidRPr="001135F8">
        <w:rPr>
          <w:rFonts w:cs="Arial"/>
        </w:rPr>
        <w:t>The Council adopts the principles of Prince2 methodology for managing projects. Incorporated within this methodology is a robust process for the management of risk within a project environment.  Each project is managed by the Project Manager who controls and co-ordinates all aspects of the project through to conclusion.</w:t>
      </w:r>
    </w:p>
    <w:p w:rsidR="00472446" w:rsidRDefault="00472446" w:rsidP="00472446">
      <w:pPr>
        <w:rPr>
          <w:rFonts w:cs="Arial"/>
        </w:rPr>
      </w:pPr>
    </w:p>
    <w:p w:rsidR="0032749E" w:rsidRPr="00A32A7B" w:rsidRDefault="001135F8" w:rsidP="0032749E">
      <w:pPr>
        <w:rPr>
          <w:rFonts w:cs="Arial"/>
          <w:b/>
        </w:rPr>
      </w:pPr>
      <w:r>
        <w:rPr>
          <w:rFonts w:cs="Arial"/>
          <w:b/>
        </w:rPr>
        <w:t xml:space="preserve">Quarter </w:t>
      </w:r>
      <w:r w:rsidR="0078409C">
        <w:rPr>
          <w:rFonts w:cs="Arial"/>
          <w:b/>
        </w:rPr>
        <w:t>1</w:t>
      </w:r>
      <w:r>
        <w:rPr>
          <w:rFonts w:cs="Arial"/>
          <w:b/>
        </w:rPr>
        <w:t xml:space="preserve"> Corporate Risk Register</w:t>
      </w:r>
    </w:p>
    <w:p w:rsidR="0032749E" w:rsidRPr="00A32A7B" w:rsidRDefault="0032749E" w:rsidP="0032749E">
      <w:pPr>
        <w:rPr>
          <w:rFonts w:cs="Arial"/>
        </w:rPr>
      </w:pPr>
    </w:p>
    <w:p w:rsidR="00472446" w:rsidRPr="00472446" w:rsidRDefault="001135F8" w:rsidP="00472446">
      <w:pPr>
        <w:numPr>
          <w:ilvl w:val="0"/>
          <w:numId w:val="1"/>
        </w:numPr>
        <w:ind w:left="426" w:hanging="426"/>
        <w:rPr>
          <w:rFonts w:cs="Arial"/>
        </w:rPr>
      </w:pPr>
      <w:r w:rsidRPr="001135F8">
        <w:rPr>
          <w:rFonts w:cs="Arial"/>
        </w:rPr>
        <w:t xml:space="preserve">The Corporate Risk Register (Appendix A) shows that there </w:t>
      </w:r>
      <w:r>
        <w:rPr>
          <w:rFonts w:cs="Arial"/>
        </w:rPr>
        <w:t>were</w:t>
      </w:r>
      <w:r w:rsidRPr="001135F8">
        <w:rPr>
          <w:rFonts w:cs="Arial"/>
        </w:rPr>
        <w:t xml:space="preserve"> no red risks </w:t>
      </w:r>
      <w:r>
        <w:rPr>
          <w:rFonts w:cs="Arial"/>
        </w:rPr>
        <w:t xml:space="preserve">as at Quarter 1 </w:t>
      </w:r>
      <w:r w:rsidRPr="001135F8">
        <w:rPr>
          <w:rFonts w:cs="Arial"/>
        </w:rPr>
        <w:t xml:space="preserve">and the number of red risks have remained at zero </w:t>
      </w:r>
      <w:r>
        <w:rPr>
          <w:rFonts w:cs="Arial"/>
        </w:rPr>
        <w:t>throughout 2014/15</w:t>
      </w:r>
      <w:r w:rsidR="006D7D0D">
        <w:rPr>
          <w:rFonts w:cs="Arial"/>
        </w:rPr>
        <w:t xml:space="preserve"> and into 2015/16</w:t>
      </w:r>
      <w:r w:rsidRPr="001135F8">
        <w:rPr>
          <w:rFonts w:cs="Arial"/>
        </w:rPr>
        <w:t>. The table below shows the movement of risks over the last 15 months.</w:t>
      </w:r>
    </w:p>
    <w:tbl>
      <w:tblPr>
        <w:tblW w:w="9498" w:type="dxa"/>
        <w:tblInd w:w="108" w:type="dxa"/>
        <w:tblLook w:val="04A0" w:firstRow="1" w:lastRow="0" w:firstColumn="1" w:lastColumn="0" w:noHBand="0" w:noVBand="1"/>
      </w:tblPr>
      <w:tblGrid>
        <w:gridCol w:w="1660"/>
        <w:gridCol w:w="1601"/>
        <w:gridCol w:w="1570"/>
        <w:gridCol w:w="1584"/>
        <w:gridCol w:w="1523"/>
        <w:gridCol w:w="1560"/>
      </w:tblGrid>
      <w:tr w:rsidR="00D3115F" w:rsidRPr="00D3115F" w:rsidTr="00472446">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b/>
                <w:bCs/>
                <w:color w:val="000000"/>
                <w:lang w:eastAsia="en-GB"/>
              </w:rPr>
            </w:pPr>
            <w:r w:rsidRPr="00D3115F">
              <w:rPr>
                <w:rFonts w:cs="Arial"/>
                <w:b/>
                <w:bCs/>
                <w:color w:val="000000"/>
                <w:lang w:eastAsia="en-GB"/>
              </w:rPr>
              <w:t>Current Risk</w:t>
            </w:r>
          </w:p>
        </w:tc>
        <w:tc>
          <w:tcPr>
            <w:tcW w:w="16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472446" w:rsidP="00472446">
            <w:pPr>
              <w:rPr>
                <w:rFonts w:cs="Arial"/>
                <w:b/>
                <w:bCs/>
                <w:color w:val="000000"/>
                <w:lang w:eastAsia="en-GB"/>
              </w:rPr>
            </w:pPr>
            <w:r>
              <w:rPr>
                <w:rFonts w:cs="Arial"/>
                <w:b/>
                <w:bCs/>
                <w:color w:val="000000"/>
                <w:lang w:eastAsia="en-GB"/>
              </w:rPr>
              <w:t xml:space="preserve">Q1 </w:t>
            </w:r>
            <w:r w:rsidR="00D3115F" w:rsidRPr="00D3115F">
              <w:rPr>
                <w:rFonts w:cs="Arial"/>
                <w:b/>
                <w:bCs/>
                <w:color w:val="000000"/>
                <w:lang w:eastAsia="en-GB"/>
              </w:rPr>
              <w:t>2014/15</w:t>
            </w:r>
          </w:p>
        </w:tc>
        <w:tc>
          <w:tcPr>
            <w:tcW w:w="1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Q2 2014/15</w:t>
            </w:r>
          </w:p>
        </w:tc>
        <w:tc>
          <w:tcPr>
            <w:tcW w:w="15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Q3 2014/15</w:t>
            </w:r>
          </w:p>
        </w:tc>
        <w:tc>
          <w:tcPr>
            <w:tcW w:w="15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472446" w:rsidP="00D3115F">
            <w:pPr>
              <w:jc w:val="right"/>
              <w:rPr>
                <w:rFonts w:cs="Arial"/>
                <w:b/>
                <w:bCs/>
                <w:color w:val="000000"/>
                <w:lang w:eastAsia="en-GB"/>
              </w:rPr>
            </w:pPr>
            <w:r>
              <w:rPr>
                <w:rFonts w:cs="Arial"/>
                <w:b/>
                <w:bCs/>
                <w:color w:val="000000"/>
                <w:lang w:eastAsia="en-GB"/>
              </w:rPr>
              <w:t xml:space="preserve">Q4 </w:t>
            </w:r>
            <w:r w:rsidR="00D3115F" w:rsidRPr="00D3115F">
              <w:rPr>
                <w:rFonts w:cs="Arial"/>
                <w:b/>
                <w:bCs/>
                <w:color w:val="000000"/>
                <w:lang w:eastAsia="en-GB"/>
              </w:rPr>
              <w:t>2014/15</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Q1 2015/16</w:t>
            </w:r>
          </w:p>
        </w:tc>
      </w:tr>
      <w:tr w:rsidR="00D3115F" w:rsidRPr="00D3115F" w:rsidTr="00472446">
        <w:trPr>
          <w:trHeight w:val="276"/>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601"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57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584"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r>
      <w:tr w:rsidR="00D3115F" w:rsidRPr="00D3115F" w:rsidTr="0047244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Red</w:t>
            </w:r>
          </w:p>
        </w:tc>
        <w:tc>
          <w:tcPr>
            <w:tcW w:w="1601"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57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584"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523"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56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r>
      <w:tr w:rsidR="00D3115F" w:rsidRPr="00D3115F" w:rsidTr="0047244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Amber</w:t>
            </w:r>
          </w:p>
        </w:tc>
        <w:tc>
          <w:tcPr>
            <w:tcW w:w="1601"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5</w:t>
            </w:r>
          </w:p>
        </w:tc>
        <w:tc>
          <w:tcPr>
            <w:tcW w:w="157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5</w:t>
            </w:r>
          </w:p>
        </w:tc>
        <w:tc>
          <w:tcPr>
            <w:tcW w:w="1584"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6</w:t>
            </w:r>
          </w:p>
        </w:tc>
        <w:tc>
          <w:tcPr>
            <w:tcW w:w="1523"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5</w:t>
            </w:r>
          </w:p>
        </w:tc>
        <w:tc>
          <w:tcPr>
            <w:tcW w:w="156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4</w:t>
            </w:r>
          </w:p>
        </w:tc>
      </w:tr>
      <w:tr w:rsidR="00D3115F" w:rsidRPr="00D3115F" w:rsidTr="0047244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Green</w:t>
            </w:r>
          </w:p>
        </w:tc>
        <w:tc>
          <w:tcPr>
            <w:tcW w:w="1601"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6</w:t>
            </w:r>
          </w:p>
        </w:tc>
        <w:tc>
          <w:tcPr>
            <w:tcW w:w="157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6</w:t>
            </w:r>
          </w:p>
        </w:tc>
        <w:tc>
          <w:tcPr>
            <w:tcW w:w="1584"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5</w:t>
            </w:r>
          </w:p>
        </w:tc>
        <w:tc>
          <w:tcPr>
            <w:tcW w:w="1523"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6</w:t>
            </w:r>
          </w:p>
        </w:tc>
        <w:tc>
          <w:tcPr>
            <w:tcW w:w="156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2</w:t>
            </w:r>
          </w:p>
        </w:tc>
      </w:tr>
      <w:tr w:rsidR="00D3115F" w:rsidRPr="00D3115F" w:rsidTr="0047244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D3115F" w:rsidRPr="00D3115F" w:rsidRDefault="00D3115F" w:rsidP="00D3115F">
            <w:pPr>
              <w:rPr>
                <w:rFonts w:cs="Arial"/>
                <w:b/>
                <w:bCs/>
                <w:color w:val="000000"/>
                <w:lang w:eastAsia="en-GB"/>
              </w:rPr>
            </w:pPr>
            <w:r w:rsidRPr="00D3115F">
              <w:rPr>
                <w:rFonts w:cs="Arial"/>
                <w:b/>
                <w:bCs/>
                <w:color w:val="000000"/>
                <w:lang w:eastAsia="en-GB"/>
              </w:rPr>
              <w:t>Total risks</w:t>
            </w:r>
          </w:p>
        </w:tc>
        <w:tc>
          <w:tcPr>
            <w:tcW w:w="1601"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11</w:t>
            </w:r>
          </w:p>
        </w:tc>
        <w:tc>
          <w:tcPr>
            <w:tcW w:w="157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11</w:t>
            </w:r>
          </w:p>
        </w:tc>
        <w:tc>
          <w:tcPr>
            <w:tcW w:w="1584"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11</w:t>
            </w:r>
          </w:p>
        </w:tc>
        <w:tc>
          <w:tcPr>
            <w:tcW w:w="1523"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11</w:t>
            </w:r>
          </w:p>
        </w:tc>
        <w:tc>
          <w:tcPr>
            <w:tcW w:w="156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6</w:t>
            </w:r>
          </w:p>
        </w:tc>
      </w:tr>
    </w:tbl>
    <w:p w:rsidR="00D3115F" w:rsidRDefault="00D3115F" w:rsidP="000116FF">
      <w:pPr>
        <w:ind w:left="426"/>
        <w:rPr>
          <w:rFonts w:cs="Arial"/>
        </w:rPr>
      </w:pPr>
    </w:p>
    <w:p w:rsidR="00D3115F" w:rsidRDefault="00D3115F" w:rsidP="00A32A7B">
      <w:pPr>
        <w:numPr>
          <w:ilvl w:val="0"/>
          <w:numId w:val="1"/>
        </w:numPr>
        <w:ind w:left="426" w:hanging="426"/>
        <w:rPr>
          <w:rFonts w:cs="Arial"/>
        </w:rPr>
      </w:pPr>
      <w:r>
        <w:rPr>
          <w:rFonts w:cs="Arial"/>
        </w:rPr>
        <w:t xml:space="preserve">There has been a full desktop review of all of the corporate risks undertaken by Directors and Heads of Service which has resulted in </w:t>
      </w:r>
      <w:r w:rsidR="00AC6D86">
        <w:rPr>
          <w:rFonts w:cs="Arial"/>
        </w:rPr>
        <w:t>the number of risks reducing from 11 to 6</w:t>
      </w:r>
      <w:r>
        <w:rPr>
          <w:rFonts w:cs="Arial"/>
        </w:rPr>
        <w:t>.</w:t>
      </w:r>
    </w:p>
    <w:p w:rsidR="00D3115F" w:rsidRDefault="00D3115F" w:rsidP="00D3115F">
      <w:pPr>
        <w:ind w:left="426"/>
        <w:rPr>
          <w:rFonts w:cs="Arial"/>
        </w:rPr>
      </w:pPr>
    </w:p>
    <w:p w:rsidR="007D13DA" w:rsidRDefault="000116FF" w:rsidP="00A32A7B">
      <w:pPr>
        <w:numPr>
          <w:ilvl w:val="0"/>
          <w:numId w:val="1"/>
        </w:numPr>
        <w:ind w:left="426" w:hanging="426"/>
        <w:rPr>
          <w:rFonts w:cs="Arial"/>
        </w:rPr>
      </w:pPr>
      <w:r>
        <w:rPr>
          <w:rFonts w:cs="Arial"/>
        </w:rPr>
        <w:t>Although t</w:t>
      </w:r>
      <w:r w:rsidRPr="000116FF">
        <w:rPr>
          <w:rFonts w:cs="Arial"/>
        </w:rPr>
        <w:t xml:space="preserve">here were no red Corporate Risks identified within </w:t>
      </w:r>
      <w:r>
        <w:rPr>
          <w:rFonts w:cs="Arial"/>
        </w:rPr>
        <w:t>Q</w:t>
      </w:r>
      <w:r w:rsidRPr="000116FF">
        <w:rPr>
          <w:rFonts w:cs="Arial"/>
        </w:rPr>
        <w:t>uarter 1</w:t>
      </w:r>
      <w:r>
        <w:rPr>
          <w:rFonts w:cs="Arial"/>
        </w:rPr>
        <w:t xml:space="preserve">, </w:t>
      </w:r>
      <w:r w:rsidRPr="000116FF">
        <w:rPr>
          <w:rFonts w:cs="Arial"/>
        </w:rPr>
        <w:t xml:space="preserve">following the Chancellor’s Budget Statement in July 2015 there is a new red risk </w:t>
      </w:r>
      <w:r>
        <w:rPr>
          <w:rFonts w:cs="Arial"/>
        </w:rPr>
        <w:t xml:space="preserve">which will </w:t>
      </w:r>
      <w:r w:rsidR="000030A0">
        <w:rPr>
          <w:rFonts w:cs="Arial"/>
        </w:rPr>
        <w:t>appear</w:t>
      </w:r>
      <w:r>
        <w:rPr>
          <w:rFonts w:cs="Arial"/>
        </w:rPr>
        <w:t xml:space="preserve"> on the risk register for Quarter 2.  </w:t>
      </w:r>
    </w:p>
    <w:p w:rsidR="000C7E80" w:rsidRDefault="000C7E80" w:rsidP="000C7E80">
      <w:pPr>
        <w:pStyle w:val="ListParagraph"/>
        <w:rPr>
          <w:rFonts w:cs="Arial"/>
        </w:rPr>
      </w:pPr>
    </w:p>
    <w:p w:rsidR="000C7E80" w:rsidRDefault="000C7E80" w:rsidP="00A32A7B">
      <w:pPr>
        <w:numPr>
          <w:ilvl w:val="0"/>
          <w:numId w:val="1"/>
        </w:numPr>
        <w:ind w:left="426" w:hanging="426"/>
        <w:rPr>
          <w:rFonts w:cs="Arial"/>
        </w:rPr>
      </w:pPr>
      <w:r>
        <w:rPr>
          <w:rFonts w:cs="Arial"/>
        </w:rPr>
        <w:t xml:space="preserve">The </w:t>
      </w:r>
      <w:r w:rsidRPr="000116FF">
        <w:rPr>
          <w:rFonts w:cs="Arial"/>
        </w:rPr>
        <w:t xml:space="preserve">Chancellor’s July Budget Statement included a number of proposals which have significant ramifications for the Council’s Medium Term Financial Plan, and in particular the Housing Revenue Account, which under current proposals is projected to have to find savings of </w:t>
      </w:r>
      <w:r>
        <w:rPr>
          <w:rFonts w:cs="Arial"/>
        </w:rPr>
        <w:t>around</w:t>
      </w:r>
      <w:r w:rsidRPr="000116FF">
        <w:rPr>
          <w:rFonts w:cs="Arial"/>
        </w:rPr>
        <w:t xml:space="preserve"> £36 million over the next 4 years. </w:t>
      </w:r>
      <w:r>
        <w:rPr>
          <w:rFonts w:cs="Arial"/>
        </w:rPr>
        <w:t xml:space="preserve"> </w:t>
      </w:r>
      <w:r w:rsidRPr="000116FF">
        <w:rPr>
          <w:rFonts w:cs="Arial"/>
        </w:rPr>
        <w:t xml:space="preserve">Changes to the HRA Business Plan to mitigate the pressures will be </w:t>
      </w:r>
      <w:r>
        <w:rPr>
          <w:rFonts w:cs="Arial"/>
        </w:rPr>
        <w:t>reviewed</w:t>
      </w:r>
      <w:r w:rsidRPr="000116FF">
        <w:rPr>
          <w:rFonts w:cs="Arial"/>
        </w:rPr>
        <w:t xml:space="preserve"> through the </w:t>
      </w:r>
      <w:r>
        <w:rPr>
          <w:rFonts w:cs="Arial"/>
        </w:rPr>
        <w:t xml:space="preserve">autumn as part of the annual </w:t>
      </w:r>
      <w:r w:rsidRPr="000116FF">
        <w:rPr>
          <w:rFonts w:cs="Arial"/>
        </w:rPr>
        <w:t xml:space="preserve">budget </w:t>
      </w:r>
      <w:r>
        <w:rPr>
          <w:rFonts w:cs="Arial"/>
        </w:rPr>
        <w:t>setting process.</w:t>
      </w:r>
    </w:p>
    <w:p w:rsidR="000C7E80" w:rsidRDefault="000C7E80" w:rsidP="000C7E80">
      <w:pPr>
        <w:pStyle w:val="ListParagraph"/>
        <w:rPr>
          <w:rFonts w:cs="Arial"/>
        </w:rPr>
      </w:pPr>
    </w:p>
    <w:p w:rsidR="000C7E80" w:rsidRDefault="000C7E80" w:rsidP="00A32A7B">
      <w:pPr>
        <w:numPr>
          <w:ilvl w:val="0"/>
          <w:numId w:val="1"/>
        </w:numPr>
        <w:ind w:left="426" w:hanging="426"/>
        <w:rPr>
          <w:rFonts w:cs="Arial"/>
        </w:rPr>
      </w:pPr>
      <w:r>
        <w:rPr>
          <w:rFonts w:cs="Arial"/>
        </w:rPr>
        <w:t xml:space="preserve">In the short term, to help mitigate the pressure and enable all options to be considered a temporary moratorium has been imposed on all non-essential </w:t>
      </w:r>
      <w:r w:rsidR="002E7B2E">
        <w:rPr>
          <w:rFonts w:cs="Arial"/>
        </w:rPr>
        <w:t>or invest to save c</w:t>
      </w:r>
      <w:r>
        <w:rPr>
          <w:rFonts w:cs="Arial"/>
        </w:rPr>
        <w:t>apital works over £100k that are not already contractually committed.  This will inevitably lead to slippage on some schemes and the reappraisal of others</w:t>
      </w:r>
    </w:p>
    <w:p w:rsidR="007D13DA" w:rsidRDefault="007D13DA" w:rsidP="00AC6D86">
      <w:pPr>
        <w:pStyle w:val="ListParagraph"/>
        <w:rPr>
          <w:rFonts w:cs="Arial"/>
        </w:rPr>
      </w:pPr>
    </w:p>
    <w:p w:rsidR="00966BBE" w:rsidRPr="00A32A7B" w:rsidRDefault="0078409C" w:rsidP="00966BBE">
      <w:pPr>
        <w:rPr>
          <w:rFonts w:cs="Arial"/>
          <w:b/>
        </w:rPr>
      </w:pPr>
      <w:r w:rsidRPr="0078409C">
        <w:rPr>
          <w:rFonts w:cs="Arial"/>
          <w:b/>
        </w:rPr>
        <w:t xml:space="preserve">Quarter </w:t>
      </w:r>
      <w:r>
        <w:rPr>
          <w:rFonts w:cs="Arial"/>
          <w:b/>
        </w:rPr>
        <w:t>1</w:t>
      </w:r>
      <w:r w:rsidRPr="0078409C">
        <w:rPr>
          <w:rFonts w:cs="Arial"/>
          <w:b/>
        </w:rPr>
        <w:t xml:space="preserve"> Service Risk Register</w:t>
      </w:r>
    </w:p>
    <w:p w:rsidR="00966BBE" w:rsidRPr="00A32A7B" w:rsidRDefault="00966BBE" w:rsidP="00966BBE">
      <w:pPr>
        <w:rPr>
          <w:rFonts w:cs="Arial"/>
        </w:rPr>
      </w:pPr>
    </w:p>
    <w:p w:rsidR="006D7D0D" w:rsidRDefault="006D7D0D" w:rsidP="00A32A7B">
      <w:pPr>
        <w:numPr>
          <w:ilvl w:val="0"/>
          <w:numId w:val="1"/>
        </w:numPr>
        <w:ind w:left="426" w:hanging="426"/>
        <w:rPr>
          <w:rFonts w:cs="Arial"/>
        </w:rPr>
      </w:pPr>
      <w:r>
        <w:rPr>
          <w:rFonts w:cs="Arial"/>
        </w:rPr>
        <w:t xml:space="preserve">Each year as part of the service planning process, all service risks are reviewed, those no longer relevant are deleted, and any new ones are added.  In </w:t>
      </w:r>
      <w:r w:rsidR="005578C1">
        <w:rPr>
          <w:rFonts w:cs="Arial"/>
        </w:rPr>
        <w:t>quarter 1 of</w:t>
      </w:r>
      <w:r>
        <w:rPr>
          <w:rFonts w:cs="Arial"/>
        </w:rPr>
        <w:t xml:space="preserve"> 2015/16, the management of Council services was restructure</w:t>
      </w:r>
      <w:r w:rsidR="00DD2A1D">
        <w:rPr>
          <w:rFonts w:cs="Arial"/>
        </w:rPr>
        <w:t>d</w:t>
      </w:r>
      <w:r>
        <w:rPr>
          <w:rFonts w:cs="Arial"/>
        </w:rPr>
        <w:t xml:space="preserve"> and risks have been moved between services areas as appropriate.  These refreshed </w:t>
      </w:r>
      <w:r w:rsidR="00DD2A1D">
        <w:rPr>
          <w:rFonts w:cs="Arial"/>
        </w:rPr>
        <w:t>S</w:t>
      </w:r>
      <w:r>
        <w:rPr>
          <w:rFonts w:cs="Arial"/>
        </w:rPr>
        <w:t xml:space="preserve">ervice </w:t>
      </w:r>
      <w:r w:rsidR="00DD2A1D">
        <w:rPr>
          <w:rFonts w:cs="Arial"/>
        </w:rPr>
        <w:t>R</w:t>
      </w:r>
      <w:r>
        <w:rPr>
          <w:rFonts w:cs="Arial"/>
        </w:rPr>
        <w:t xml:space="preserve">isk </w:t>
      </w:r>
      <w:r w:rsidR="00DD2A1D">
        <w:rPr>
          <w:rFonts w:cs="Arial"/>
        </w:rPr>
        <w:t>R</w:t>
      </w:r>
      <w:r>
        <w:rPr>
          <w:rFonts w:cs="Arial"/>
        </w:rPr>
        <w:t xml:space="preserve">egisters </w:t>
      </w:r>
      <w:r w:rsidR="005578C1">
        <w:rPr>
          <w:rFonts w:cs="Arial"/>
        </w:rPr>
        <w:t>will be</w:t>
      </w:r>
      <w:r>
        <w:rPr>
          <w:rFonts w:cs="Arial"/>
        </w:rPr>
        <w:t xml:space="preserve"> used for monitoring purposes </w:t>
      </w:r>
      <w:r w:rsidR="005578C1">
        <w:rPr>
          <w:rFonts w:cs="Arial"/>
        </w:rPr>
        <w:t>for the remainder of</w:t>
      </w:r>
      <w:r>
        <w:rPr>
          <w:rFonts w:cs="Arial"/>
        </w:rPr>
        <w:t xml:space="preserve"> the year.</w:t>
      </w:r>
    </w:p>
    <w:p w:rsidR="006D7D0D" w:rsidRDefault="006D7D0D" w:rsidP="006D7D0D">
      <w:pPr>
        <w:ind w:left="426"/>
        <w:rPr>
          <w:rFonts w:cs="Arial"/>
        </w:rPr>
      </w:pPr>
    </w:p>
    <w:p w:rsidR="00966BBE" w:rsidRDefault="0078409C" w:rsidP="00A32A7B">
      <w:pPr>
        <w:numPr>
          <w:ilvl w:val="0"/>
          <w:numId w:val="1"/>
        </w:numPr>
        <w:ind w:left="426" w:hanging="426"/>
        <w:rPr>
          <w:rFonts w:cs="Arial"/>
        </w:rPr>
      </w:pPr>
      <w:r w:rsidRPr="0078409C">
        <w:rPr>
          <w:rFonts w:cs="Arial"/>
        </w:rPr>
        <w:t xml:space="preserve">The table below shows the number of </w:t>
      </w:r>
      <w:r w:rsidR="005578C1">
        <w:rPr>
          <w:rFonts w:cs="Arial"/>
        </w:rPr>
        <w:t xml:space="preserve">service </w:t>
      </w:r>
      <w:r w:rsidRPr="0078409C">
        <w:rPr>
          <w:rFonts w:cs="Arial"/>
        </w:rPr>
        <w:t xml:space="preserve">risks </w:t>
      </w:r>
      <w:r w:rsidR="005578C1">
        <w:rPr>
          <w:rFonts w:cs="Arial"/>
        </w:rPr>
        <w:t>in</w:t>
      </w:r>
      <w:r w:rsidRPr="0078409C">
        <w:rPr>
          <w:rFonts w:cs="Arial"/>
        </w:rPr>
        <w:t xml:space="preserve"> Q</w:t>
      </w:r>
      <w:r>
        <w:rPr>
          <w:rFonts w:cs="Arial"/>
        </w:rPr>
        <w:t>1</w:t>
      </w:r>
      <w:r w:rsidRPr="0078409C">
        <w:rPr>
          <w:rFonts w:cs="Arial"/>
        </w:rPr>
        <w:t xml:space="preserve"> 201</w:t>
      </w:r>
      <w:r>
        <w:rPr>
          <w:rFonts w:cs="Arial"/>
        </w:rPr>
        <w:t>5</w:t>
      </w:r>
      <w:r w:rsidRPr="0078409C">
        <w:rPr>
          <w:rFonts w:cs="Arial"/>
        </w:rPr>
        <w:t>/1</w:t>
      </w:r>
      <w:r>
        <w:rPr>
          <w:rFonts w:cs="Arial"/>
        </w:rPr>
        <w:t>6</w:t>
      </w:r>
      <w:r w:rsidRPr="0078409C">
        <w:rPr>
          <w:rFonts w:cs="Arial"/>
        </w:rPr>
        <w:t xml:space="preserve"> </w:t>
      </w:r>
      <w:r w:rsidRPr="00D3115F">
        <w:rPr>
          <w:rFonts w:cs="Arial"/>
        </w:rPr>
        <w:t>compared with the last 15 months. Four risks have been closed since the last quarter</w:t>
      </w:r>
      <w:r w:rsidR="00D3115F" w:rsidRPr="00D3115F">
        <w:rPr>
          <w:rFonts w:cs="Arial"/>
        </w:rPr>
        <w:t xml:space="preserve"> and there </w:t>
      </w:r>
      <w:r w:rsidR="002E7B2E">
        <w:rPr>
          <w:rFonts w:cs="Arial"/>
        </w:rPr>
        <w:t>is one</w:t>
      </w:r>
      <w:r w:rsidR="00472446">
        <w:rPr>
          <w:rFonts w:cs="Arial"/>
        </w:rPr>
        <w:t xml:space="preserve"> new red risk</w:t>
      </w:r>
      <w:r w:rsidRPr="00D3115F">
        <w:rPr>
          <w:rFonts w:cs="Arial"/>
        </w:rPr>
        <w:t>.</w:t>
      </w:r>
    </w:p>
    <w:p w:rsidR="000116FF" w:rsidRDefault="000116FF" w:rsidP="000116FF">
      <w:pPr>
        <w:pStyle w:val="ListParagraph"/>
        <w:rPr>
          <w:rFonts w:cs="Arial"/>
        </w:rPr>
      </w:pPr>
    </w:p>
    <w:tbl>
      <w:tblPr>
        <w:tblW w:w="7780" w:type="dxa"/>
        <w:tblInd w:w="93" w:type="dxa"/>
        <w:tblLook w:val="04A0" w:firstRow="1" w:lastRow="0" w:firstColumn="1" w:lastColumn="0" w:noHBand="0" w:noVBand="1"/>
      </w:tblPr>
      <w:tblGrid>
        <w:gridCol w:w="2180"/>
        <w:gridCol w:w="1120"/>
        <w:gridCol w:w="1120"/>
        <w:gridCol w:w="1120"/>
        <w:gridCol w:w="1120"/>
        <w:gridCol w:w="1120"/>
      </w:tblGrid>
      <w:tr w:rsidR="00D3115F" w:rsidRPr="00D3115F" w:rsidTr="00D3115F">
        <w:trPr>
          <w:trHeight w:val="315"/>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b/>
                <w:bCs/>
                <w:color w:val="000000"/>
                <w:lang w:eastAsia="en-GB"/>
              </w:rPr>
            </w:pPr>
            <w:r w:rsidRPr="00D3115F">
              <w:rPr>
                <w:rFonts w:cs="Arial"/>
                <w:b/>
                <w:bCs/>
                <w:color w:val="000000"/>
                <w:lang w:eastAsia="en-GB"/>
              </w:rPr>
              <w:lastRenderedPageBreak/>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Q1</w:t>
            </w:r>
            <w:r w:rsidRPr="00D3115F">
              <w:rPr>
                <w:rFonts w:cs="Arial"/>
                <w:b/>
                <w:bCs/>
                <w:color w:val="000000"/>
                <w:lang w:eastAsia="en-GB"/>
              </w:rPr>
              <w:br/>
              <w:t>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Q2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Q3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Q4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Q1 2015/16</w:t>
            </w:r>
          </w:p>
        </w:tc>
      </w:tr>
      <w:tr w:rsidR="00D3115F" w:rsidRPr="00D3115F" w:rsidTr="00D3115F">
        <w:trPr>
          <w:trHeight w:val="315"/>
        </w:trPr>
        <w:tc>
          <w:tcPr>
            <w:tcW w:w="218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3115F" w:rsidRPr="00D3115F" w:rsidRDefault="00D3115F" w:rsidP="00D3115F">
            <w:pPr>
              <w:rPr>
                <w:rFonts w:cs="Arial"/>
                <w:b/>
                <w:bCs/>
                <w:color w:val="000000"/>
                <w:lang w:eastAsia="en-GB"/>
              </w:rPr>
            </w:pPr>
          </w:p>
        </w:tc>
      </w:tr>
      <w:tr w:rsidR="00D3115F" w:rsidRPr="00D3115F" w:rsidTr="00D3115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CE493A" w:rsidP="00CE493A">
            <w:pPr>
              <w:jc w:val="right"/>
              <w:rPr>
                <w:rFonts w:cs="Arial"/>
                <w:color w:val="000000"/>
                <w:lang w:eastAsia="en-GB"/>
              </w:rPr>
            </w:pPr>
            <w:r>
              <w:rPr>
                <w:rFonts w:cs="Arial"/>
                <w:color w:val="000000"/>
                <w:lang w:eastAsia="en-GB"/>
              </w:rPr>
              <w:t>1</w:t>
            </w:r>
          </w:p>
        </w:tc>
      </w:tr>
      <w:tr w:rsidR="00D3115F" w:rsidRPr="00D3115F" w:rsidTr="00D3115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36</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41</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38</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39</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32</w:t>
            </w:r>
          </w:p>
        </w:tc>
      </w:tr>
      <w:tr w:rsidR="00D3115F" w:rsidRPr="00D3115F" w:rsidTr="00D3115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42</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36</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39</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35</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38</w:t>
            </w:r>
          </w:p>
        </w:tc>
      </w:tr>
      <w:tr w:rsidR="00D3115F" w:rsidRPr="00D3115F" w:rsidTr="00D3115F">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D3115F" w:rsidRPr="00D3115F" w:rsidRDefault="00D3115F" w:rsidP="00D3115F">
            <w:pPr>
              <w:rPr>
                <w:rFonts w:cs="Arial"/>
                <w:b/>
                <w:bCs/>
                <w:color w:val="000000"/>
                <w:lang w:eastAsia="en-GB"/>
              </w:rPr>
            </w:pPr>
            <w:r w:rsidRPr="00D3115F">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81</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77</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77</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b/>
                <w:bCs/>
                <w:color w:val="000000"/>
                <w:lang w:eastAsia="en-GB"/>
              </w:rPr>
            </w:pPr>
            <w:r w:rsidRPr="00D3115F">
              <w:rPr>
                <w:rFonts w:cs="Arial"/>
                <w:b/>
                <w:bCs/>
                <w:color w:val="000000"/>
                <w:lang w:eastAsia="en-GB"/>
              </w:rPr>
              <w:t>74</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CE493A">
            <w:pPr>
              <w:jc w:val="right"/>
              <w:rPr>
                <w:rFonts w:cs="Arial"/>
                <w:b/>
                <w:bCs/>
                <w:color w:val="000000"/>
                <w:lang w:eastAsia="en-GB"/>
              </w:rPr>
            </w:pPr>
            <w:r w:rsidRPr="00D3115F">
              <w:rPr>
                <w:rFonts w:cs="Arial"/>
                <w:b/>
                <w:bCs/>
                <w:color w:val="000000"/>
                <w:lang w:eastAsia="en-GB"/>
              </w:rPr>
              <w:t>7</w:t>
            </w:r>
            <w:r w:rsidR="00CE493A">
              <w:rPr>
                <w:rFonts w:cs="Arial"/>
                <w:b/>
                <w:bCs/>
                <w:color w:val="000000"/>
                <w:lang w:eastAsia="en-GB"/>
              </w:rPr>
              <w:t>1</w:t>
            </w:r>
          </w:p>
        </w:tc>
      </w:tr>
      <w:tr w:rsidR="00D3115F" w:rsidRPr="00D3115F" w:rsidTr="00D3115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New risks in quarter</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 </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CE493A" w:rsidP="00D3115F">
            <w:pPr>
              <w:jc w:val="right"/>
              <w:rPr>
                <w:rFonts w:cs="Arial"/>
                <w:color w:val="000000"/>
                <w:lang w:eastAsia="en-GB"/>
              </w:rPr>
            </w:pPr>
            <w:r>
              <w:rPr>
                <w:rFonts w:cs="Arial"/>
                <w:color w:val="000000"/>
                <w:lang w:eastAsia="en-GB"/>
              </w:rPr>
              <w:t>1</w:t>
            </w:r>
          </w:p>
        </w:tc>
      </w:tr>
      <w:tr w:rsidR="00D3115F" w:rsidRPr="00D3115F" w:rsidTr="00D3115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3115F" w:rsidRPr="00D3115F" w:rsidRDefault="00D3115F" w:rsidP="00D3115F">
            <w:pPr>
              <w:rPr>
                <w:rFonts w:cs="Arial"/>
                <w:color w:val="000000"/>
                <w:lang w:eastAsia="en-GB"/>
              </w:rPr>
            </w:pPr>
            <w:r w:rsidRPr="00D3115F">
              <w:rPr>
                <w:rFonts w:cs="Arial"/>
                <w:color w:val="000000"/>
                <w:lang w:eastAsia="en-GB"/>
              </w:rPr>
              <w:t>Closed</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3</w:t>
            </w:r>
          </w:p>
        </w:tc>
        <w:tc>
          <w:tcPr>
            <w:tcW w:w="1120" w:type="dxa"/>
            <w:tcBorders>
              <w:top w:val="nil"/>
              <w:left w:val="nil"/>
              <w:bottom w:val="single" w:sz="8" w:space="0" w:color="000000"/>
              <w:right w:val="single" w:sz="8" w:space="0" w:color="000000"/>
            </w:tcBorders>
            <w:shd w:val="clear" w:color="000000" w:fill="D9D9D9"/>
            <w:vAlign w:val="center"/>
            <w:hideMark/>
          </w:tcPr>
          <w:p w:rsidR="00D3115F" w:rsidRPr="00D3115F" w:rsidRDefault="00D3115F" w:rsidP="00D3115F">
            <w:pPr>
              <w:jc w:val="right"/>
              <w:rPr>
                <w:rFonts w:cs="Arial"/>
                <w:color w:val="000000"/>
                <w:lang w:eastAsia="en-GB"/>
              </w:rPr>
            </w:pPr>
            <w:r w:rsidRPr="00D3115F">
              <w:rPr>
                <w:rFonts w:cs="Arial"/>
                <w:color w:val="000000"/>
                <w:lang w:eastAsia="en-GB"/>
              </w:rPr>
              <w:t>4</w:t>
            </w:r>
          </w:p>
        </w:tc>
      </w:tr>
    </w:tbl>
    <w:p w:rsidR="00D3115F" w:rsidRDefault="00D3115F" w:rsidP="000116FF">
      <w:pPr>
        <w:pStyle w:val="ListParagraph"/>
        <w:rPr>
          <w:rFonts w:cs="Arial"/>
        </w:rPr>
      </w:pPr>
    </w:p>
    <w:p w:rsidR="000116FF" w:rsidRDefault="000116FF" w:rsidP="00A32A7B">
      <w:pPr>
        <w:numPr>
          <w:ilvl w:val="0"/>
          <w:numId w:val="1"/>
        </w:numPr>
        <w:ind w:left="426" w:hanging="426"/>
        <w:rPr>
          <w:rFonts w:cs="Arial"/>
        </w:rPr>
      </w:pPr>
      <w:r>
        <w:rPr>
          <w:rFonts w:cs="Arial"/>
        </w:rPr>
        <w:t xml:space="preserve">There </w:t>
      </w:r>
      <w:r w:rsidRPr="005A5B9F">
        <w:rPr>
          <w:rFonts w:cs="Arial"/>
        </w:rPr>
        <w:t>w</w:t>
      </w:r>
      <w:r w:rsidR="00463E24">
        <w:rPr>
          <w:rFonts w:cs="Arial"/>
        </w:rPr>
        <w:t>as one</w:t>
      </w:r>
      <w:r w:rsidR="00472446">
        <w:rPr>
          <w:rFonts w:cs="Arial"/>
        </w:rPr>
        <w:t xml:space="preserve"> red risk</w:t>
      </w:r>
      <w:r>
        <w:rPr>
          <w:rFonts w:cs="Arial"/>
        </w:rPr>
        <w:t xml:space="preserve"> at </w:t>
      </w:r>
      <w:r w:rsidR="00463E24">
        <w:rPr>
          <w:rFonts w:cs="Arial"/>
        </w:rPr>
        <w:t>the end of June ‘15</w:t>
      </w:r>
      <w:r>
        <w:rPr>
          <w:rFonts w:cs="Arial"/>
        </w:rPr>
        <w:t xml:space="preserve"> as follows: -</w:t>
      </w:r>
    </w:p>
    <w:p w:rsidR="000116FF" w:rsidRPr="005A5B9F" w:rsidRDefault="000116FF" w:rsidP="005A5B9F">
      <w:pPr>
        <w:pStyle w:val="ListParagraph"/>
        <w:numPr>
          <w:ilvl w:val="0"/>
          <w:numId w:val="23"/>
        </w:numPr>
        <w:rPr>
          <w:rFonts w:cs="Arial"/>
        </w:rPr>
      </w:pPr>
      <w:r w:rsidRPr="005A5B9F">
        <w:rPr>
          <w:rFonts w:cs="Arial"/>
        </w:rPr>
        <w:t xml:space="preserve">Direct Services </w:t>
      </w:r>
      <w:r w:rsidR="00CE493A">
        <w:rPr>
          <w:rFonts w:cs="Arial"/>
        </w:rPr>
        <w:t xml:space="preserve">- </w:t>
      </w:r>
      <w:r w:rsidRPr="005A5B9F">
        <w:rPr>
          <w:rFonts w:cs="Arial"/>
        </w:rPr>
        <w:t xml:space="preserve">relating to </w:t>
      </w:r>
      <w:r w:rsidR="00D3115F">
        <w:rPr>
          <w:rFonts w:cs="Arial"/>
        </w:rPr>
        <w:t>the</w:t>
      </w:r>
      <w:r w:rsidR="000C7E80">
        <w:rPr>
          <w:rFonts w:cs="Arial"/>
        </w:rPr>
        <w:t xml:space="preserve"> delay and</w:t>
      </w:r>
      <w:r w:rsidR="00A566D4">
        <w:rPr>
          <w:rFonts w:cs="Arial"/>
        </w:rPr>
        <w:t xml:space="preserve"> the</w:t>
      </w:r>
      <w:r w:rsidR="000C7E80">
        <w:rPr>
          <w:rFonts w:cs="Arial"/>
        </w:rPr>
        <w:t xml:space="preserve"> issues </w:t>
      </w:r>
      <w:r w:rsidR="00A566D4">
        <w:rPr>
          <w:rFonts w:cs="Arial"/>
        </w:rPr>
        <w:t xml:space="preserve">that have been caused with the recent Servitor upgrade and </w:t>
      </w:r>
      <w:r w:rsidR="00D3115F">
        <w:rPr>
          <w:rFonts w:cs="Arial"/>
        </w:rPr>
        <w:t>the introduction of handheld devices</w:t>
      </w:r>
      <w:r w:rsidR="00A566D4">
        <w:rPr>
          <w:rFonts w:cs="Arial"/>
        </w:rPr>
        <w:t>.</w:t>
      </w:r>
    </w:p>
    <w:p w:rsidR="000116FF" w:rsidRDefault="000116FF" w:rsidP="00966BBE">
      <w:pPr>
        <w:ind w:left="426"/>
        <w:rPr>
          <w:rFonts w:cs="Arial"/>
        </w:rPr>
      </w:pPr>
    </w:p>
    <w:p w:rsidR="00472446" w:rsidRDefault="00472446" w:rsidP="00966BBE">
      <w:pPr>
        <w:ind w:left="426"/>
        <w:rPr>
          <w:rFonts w:cs="Arial"/>
        </w:rPr>
      </w:pPr>
      <w:bookmarkStart w:id="0" w:name="_GoBack"/>
      <w:bookmarkEnd w:id="0"/>
    </w:p>
    <w:p w:rsidR="006D7D0D" w:rsidRPr="006D7D0D" w:rsidRDefault="006D7D0D" w:rsidP="00966BBE">
      <w:pPr>
        <w:ind w:left="426"/>
        <w:rPr>
          <w:rFonts w:cs="Arial"/>
          <w:u w:val="single"/>
        </w:rPr>
      </w:pPr>
      <w:r w:rsidRPr="006D7D0D">
        <w:rPr>
          <w:rFonts w:cs="Arial"/>
          <w:u w:val="single"/>
        </w:rPr>
        <w:t>Service Area Risk Summary</w:t>
      </w:r>
    </w:p>
    <w:p w:rsidR="008919F7" w:rsidRDefault="006D7D0D" w:rsidP="00A32A7B">
      <w:pPr>
        <w:numPr>
          <w:ilvl w:val="0"/>
          <w:numId w:val="1"/>
        </w:numPr>
        <w:ind w:left="426" w:hanging="426"/>
        <w:rPr>
          <w:rFonts w:cs="Arial"/>
        </w:rPr>
      </w:pPr>
      <w:r w:rsidRPr="006D7D0D">
        <w:rPr>
          <w:rFonts w:cs="Arial"/>
        </w:rPr>
        <w:t>The table below shows the how the service area risks have been scored in accordance to the risk matrix.</w:t>
      </w:r>
    </w:p>
    <w:p w:rsidR="008919F7" w:rsidRDefault="008919F7" w:rsidP="008919F7">
      <w:pPr>
        <w:pStyle w:val="ListParagraph"/>
        <w:ind w:left="426"/>
        <w:rPr>
          <w:rFonts w:cs="Arial"/>
        </w:rPr>
      </w:pPr>
    </w:p>
    <w:tbl>
      <w:tblPr>
        <w:tblW w:w="8940" w:type="dxa"/>
        <w:tblLook w:val="04A0" w:firstRow="1" w:lastRow="0" w:firstColumn="1" w:lastColumn="0" w:noHBand="0" w:noVBand="1"/>
      </w:tblPr>
      <w:tblGrid>
        <w:gridCol w:w="1660"/>
        <w:gridCol w:w="1600"/>
        <w:gridCol w:w="1340"/>
        <w:gridCol w:w="1340"/>
        <w:gridCol w:w="1340"/>
        <w:gridCol w:w="1660"/>
      </w:tblGrid>
      <w:tr w:rsidR="00AC6D86" w:rsidRPr="00AC6D86" w:rsidTr="00AC6D86">
        <w:trPr>
          <w:trHeight w:val="585"/>
        </w:trPr>
        <w:tc>
          <w:tcPr>
            <w:tcW w:w="1660" w:type="dxa"/>
            <w:tcBorders>
              <w:top w:val="single" w:sz="12" w:space="0" w:color="auto"/>
              <w:left w:val="single" w:sz="12" w:space="0" w:color="auto"/>
              <w:bottom w:val="single" w:sz="4" w:space="0" w:color="auto"/>
              <w:right w:val="nil"/>
            </w:tcBorders>
            <w:shd w:val="clear" w:color="auto" w:fill="auto"/>
            <w:vAlign w:val="center"/>
            <w:hideMark/>
          </w:tcPr>
          <w:p w:rsidR="00AC6D86" w:rsidRPr="00AC6D86" w:rsidRDefault="00AC6D86" w:rsidP="00AC6D86">
            <w:pPr>
              <w:jc w:val="right"/>
              <w:rPr>
                <w:rFonts w:ascii="Verdana" w:hAnsi="Verdana" w:cs="Calibri"/>
                <w:b/>
                <w:bCs/>
                <w:color w:val="000000"/>
                <w:sz w:val="22"/>
                <w:szCs w:val="22"/>
                <w:lang w:eastAsia="en-GB"/>
              </w:rPr>
            </w:pPr>
            <w:r w:rsidRPr="00AC6D86">
              <w:rPr>
                <w:rFonts w:ascii="Verdana" w:hAnsi="Verdana" w:cs="Calibri"/>
                <w:b/>
                <w:bCs/>
                <w:color w:val="000000"/>
                <w:sz w:val="22"/>
                <w:szCs w:val="22"/>
                <w:lang w:eastAsia="en-GB"/>
              </w:rPr>
              <w:t>Current</w:t>
            </w:r>
            <w:r w:rsidRPr="00AC6D86">
              <w:rPr>
                <w:rFonts w:ascii="Verdana" w:hAnsi="Verdana" w:cs="Calibri"/>
                <w:b/>
                <w:bCs/>
                <w:color w:val="000000"/>
                <w:sz w:val="22"/>
                <w:szCs w:val="22"/>
                <w:lang w:eastAsia="en-GB"/>
              </w:rPr>
              <w:br/>
              <w:t>Impact</w:t>
            </w:r>
          </w:p>
        </w:tc>
        <w:tc>
          <w:tcPr>
            <w:tcW w:w="1600" w:type="dxa"/>
            <w:vMerge w:val="restart"/>
            <w:tcBorders>
              <w:top w:val="single" w:sz="12" w:space="0" w:color="auto"/>
              <w:left w:val="single" w:sz="4" w:space="0" w:color="auto"/>
              <w:bottom w:val="single" w:sz="4" w:space="0" w:color="000000"/>
              <w:right w:val="nil"/>
            </w:tcBorders>
            <w:shd w:val="clear" w:color="auto" w:fill="auto"/>
            <w:vAlign w:val="center"/>
            <w:hideMark/>
          </w:tcPr>
          <w:p w:rsidR="00AC6D86" w:rsidRPr="00AC6D86" w:rsidRDefault="00AC6D86" w:rsidP="00AC6D86">
            <w:pPr>
              <w:jc w:val="center"/>
              <w:rPr>
                <w:rFonts w:ascii="Verdana" w:hAnsi="Verdana" w:cs="Calibri"/>
                <w:color w:val="000000"/>
                <w:sz w:val="18"/>
                <w:szCs w:val="18"/>
                <w:lang w:eastAsia="en-GB"/>
              </w:rPr>
            </w:pPr>
            <w:r w:rsidRPr="00AC6D86">
              <w:rPr>
                <w:rFonts w:ascii="Verdana" w:hAnsi="Verdana" w:cs="Calibri"/>
                <w:color w:val="000000"/>
                <w:sz w:val="18"/>
                <w:szCs w:val="18"/>
                <w:lang w:eastAsia="en-GB"/>
              </w:rPr>
              <w:t xml:space="preserve">Insignificant </w:t>
            </w:r>
            <w:r w:rsidRPr="00AC6D86">
              <w:rPr>
                <w:rFonts w:ascii="Verdana" w:hAnsi="Verdana" w:cs="Calibri"/>
                <w:color w:val="000000"/>
                <w:sz w:val="18"/>
                <w:szCs w:val="18"/>
                <w:lang w:eastAsia="en-GB"/>
              </w:rPr>
              <w:br/>
              <w:t>(1)</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AC6D86" w:rsidRPr="00AC6D86" w:rsidRDefault="00AC6D86" w:rsidP="00AC6D86">
            <w:pPr>
              <w:jc w:val="center"/>
              <w:rPr>
                <w:rFonts w:ascii="Verdana" w:hAnsi="Verdana" w:cs="Calibri"/>
                <w:color w:val="000000"/>
                <w:sz w:val="18"/>
                <w:szCs w:val="18"/>
                <w:lang w:eastAsia="en-GB"/>
              </w:rPr>
            </w:pPr>
            <w:r w:rsidRPr="00AC6D86">
              <w:rPr>
                <w:rFonts w:ascii="Verdana" w:hAnsi="Verdana" w:cs="Calibri"/>
                <w:color w:val="000000"/>
                <w:sz w:val="18"/>
                <w:szCs w:val="18"/>
                <w:lang w:eastAsia="en-GB"/>
              </w:rPr>
              <w:t xml:space="preserve">Minor </w:t>
            </w:r>
            <w:r w:rsidRPr="00AC6D86">
              <w:rPr>
                <w:rFonts w:ascii="Verdana" w:hAnsi="Verdana" w:cs="Calibri"/>
                <w:color w:val="000000"/>
                <w:sz w:val="18"/>
                <w:szCs w:val="18"/>
                <w:lang w:eastAsia="en-GB"/>
              </w:rPr>
              <w:br/>
              <w:t>(2)</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AC6D86" w:rsidRPr="00AC6D86" w:rsidRDefault="00AC6D86" w:rsidP="00AC6D86">
            <w:pPr>
              <w:jc w:val="center"/>
              <w:rPr>
                <w:rFonts w:ascii="Verdana" w:hAnsi="Verdana" w:cs="Calibri"/>
                <w:color w:val="000000"/>
                <w:sz w:val="18"/>
                <w:szCs w:val="18"/>
                <w:lang w:eastAsia="en-GB"/>
              </w:rPr>
            </w:pPr>
            <w:r w:rsidRPr="00AC6D86">
              <w:rPr>
                <w:rFonts w:ascii="Verdana" w:hAnsi="Verdana" w:cs="Calibri"/>
                <w:color w:val="000000"/>
                <w:sz w:val="18"/>
                <w:szCs w:val="18"/>
                <w:lang w:eastAsia="en-GB"/>
              </w:rPr>
              <w:t xml:space="preserve">Moderate </w:t>
            </w:r>
            <w:r w:rsidRPr="00AC6D86">
              <w:rPr>
                <w:rFonts w:ascii="Verdana" w:hAnsi="Verdana" w:cs="Calibri"/>
                <w:color w:val="000000"/>
                <w:sz w:val="18"/>
                <w:szCs w:val="18"/>
                <w:lang w:eastAsia="en-GB"/>
              </w:rPr>
              <w:br/>
              <w:t>(3)</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AC6D86" w:rsidRPr="00AC6D86" w:rsidRDefault="00AC6D86" w:rsidP="00AC6D86">
            <w:pPr>
              <w:jc w:val="center"/>
              <w:rPr>
                <w:rFonts w:ascii="Verdana" w:hAnsi="Verdana" w:cs="Calibri"/>
                <w:color w:val="000000"/>
                <w:sz w:val="18"/>
                <w:szCs w:val="18"/>
                <w:lang w:eastAsia="en-GB"/>
              </w:rPr>
            </w:pPr>
            <w:r w:rsidRPr="00AC6D86">
              <w:rPr>
                <w:rFonts w:ascii="Verdana" w:hAnsi="Verdana" w:cs="Calibri"/>
                <w:color w:val="000000"/>
                <w:sz w:val="18"/>
                <w:szCs w:val="18"/>
                <w:lang w:eastAsia="en-GB"/>
              </w:rPr>
              <w:t xml:space="preserve">Major </w:t>
            </w:r>
            <w:r w:rsidRPr="00AC6D86">
              <w:rPr>
                <w:rFonts w:ascii="Verdana" w:hAnsi="Verdana" w:cs="Calibri"/>
                <w:color w:val="000000"/>
                <w:sz w:val="18"/>
                <w:szCs w:val="18"/>
                <w:lang w:eastAsia="en-GB"/>
              </w:rPr>
              <w:br/>
              <w:t>(4)</w:t>
            </w:r>
          </w:p>
        </w:tc>
        <w:tc>
          <w:tcPr>
            <w:tcW w:w="1660" w:type="dxa"/>
            <w:vMerge w:val="restart"/>
            <w:tcBorders>
              <w:top w:val="single" w:sz="12" w:space="0" w:color="auto"/>
              <w:left w:val="nil"/>
              <w:bottom w:val="single" w:sz="4" w:space="0" w:color="000000"/>
              <w:right w:val="single" w:sz="12" w:space="0" w:color="auto"/>
            </w:tcBorders>
            <w:shd w:val="clear" w:color="auto" w:fill="auto"/>
            <w:vAlign w:val="center"/>
            <w:hideMark/>
          </w:tcPr>
          <w:p w:rsidR="00AC6D86" w:rsidRPr="00AC6D86" w:rsidRDefault="00AC6D86" w:rsidP="00AC6D86">
            <w:pPr>
              <w:jc w:val="center"/>
              <w:rPr>
                <w:rFonts w:ascii="Verdana" w:hAnsi="Verdana" w:cs="Calibri"/>
                <w:color w:val="000000"/>
                <w:sz w:val="18"/>
                <w:szCs w:val="18"/>
                <w:lang w:eastAsia="en-GB"/>
              </w:rPr>
            </w:pPr>
            <w:r w:rsidRPr="00AC6D86">
              <w:rPr>
                <w:rFonts w:ascii="Verdana" w:hAnsi="Verdana" w:cs="Calibri"/>
                <w:color w:val="000000"/>
                <w:sz w:val="18"/>
                <w:szCs w:val="18"/>
                <w:lang w:eastAsia="en-GB"/>
              </w:rPr>
              <w:t xml:space="preserve">Catastrophic </w:t>
            </w:r>
            <w:r w:rsidRPr="00AC6D86">
              <w:rPr>
                <w:rFonts w:ascii="Verdana" w:hAnsi="Verdana" w:cs="Calibri"/>
                <w:color w:val="000000"/>
                <w:sz w:val="18"/>
                <w:szCs w:val="18"/>
                <w:lang w:eastAsia="en-GB"/>
              </w:rPr>
              <w:br/>
              <w:t>(5)</w:t>
            </w:r>
          </w:p>
        </w:tc>
      </w:tr>
      <w:tr w:rsidR="00AC6D86" w:rsidRPr="00AC6D86" w:rsidTr="00AC6D86">
        <w:trPr>
          <w:trHeight w:val="570"/>
        </w:trPr>
        <w:tc>
          <w:tcPr>
            <w:tcW w:w="1660" w:type="dxa"/>
            <w:tcBorders>
              <w:top w:val="nil"/>
              <w:left w:val="single" w:sz="12" w:space="0" w:color="auto"/>
              <w:bottom w:val="nil"/>
              <w:right w:val="single" w:sz="4" w:space="0" w:color="auto"/>
            </w:tcBorders>
            <w:shd w:val="clear" w:color="auto" w:fill="auto"/>
            <w:vAlign w:val="center"/>
            <w:hideMark/>
          </w:tcPr>
          <w:p w:rsidR="00AC6D86" w:rsidRPr="00AC6D86" w:rsidRDefault="00AC6D86" w:rsidP="00AC6D86">
            <w:pPr>
              <w:rPr>
                <w:rFonts w:ascii="Verdana" w:hAnsi="Verdana" w:cs="Calibri"/>
                <w:b/>
                <w:bCs/>
                <w:color w:val="000000"/>
                <w:sz w:val="22"/>
                <w:szCs w:val="22"/>
                <w:lang w:eastAsia="en-GB"/>
              </w:rPr>
            </w:pPr>
            <w:r w:rsidRPr="00AC6D86">
              <w:rPr>
                <w:rFonts w:ascii="Verdana" w:hAnsi="Verdana" w:cs="Calibri"/>
                <w:b/>
                <w:bCs/>
                <w:color w:val="000000"/>
                <w:sz w:val="22"/>
                <w:szCs w:val="22"/>
                <w:lang w:eastAsia="en-GB"/>
              </w:rPr>
              <w:t>Current</w:t>
            </w:r>
            <w:r w:rsidRPr="00AC6D86">
              <w:rPr>
                <w:rFonts w:ascii="Verdana" w:hAnsi="Verdana" w:cs="Calibri"/>
                <w:b/>
                <w:bCs/>
                <w:color w:val="000000"/>
                <w:sz w:val="22"/>
                <w:szCs w:val="22"/>
                <w:lang w:eastAsia="en-GB"/>
              </w:rPr>
              <w:br/>
              <w:t>Probability</w:t>
            </w:r>
          </w:p>
        </w:tc>
        <w:tc>
          <w:tcPr>
            <w:tcW w:w="1600" w:type="dxa"/>
            <w:vMerge/>
            <w:tcBorders>
              <w:top w:val="single" w:sz="12" w:space="0" w:color="auto"/>
              <w:left w:val="single" w:sz="4" w:space="0" w:color="auto"/>
              <w:bottom w:val="single" w:sz="4" w:space="0" w:color="000000"/>
              <w:right w:val="nil"/>
            </w:tcBorders>
            <w:vAlign w:val="center"/>
            <w:hideMark/>
          </w:tcPr>
          <w:p w:rsidR="00AC6D86" w:rsidRPr="00AC6D86" w:rsidRDefault="00AC6D86" w:rsidP="00AC6D86">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AC6D86" w:rsidRPr="00AC6D86" w:rsidRDefault="00AC6D86" w:rsidP="00AC6D86">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AC6D86" w:rsidRPr="00AC6D86" w:rsidRDefault="00AC6D86" w:rsidP="00AC6D86">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AC6D86" w:rsidRPr="00AC6D86" w:rsidRDefault="00AC6D86" w:rsidP="00AC6D86">
            <w:pPr>
              <w:rPr>
                <w:rFonts w:ascii="Verdana" w:hAnsi="Verdana" w:cs="Calibri"/>
                <w:color w:val="000000"/>
                <w:sz w:val="18"/>
                <w:szCs w:val="18"/>
                <w:lang w:eastAsia="en-GB"/>
              </w:rPr>
            </w:pPr>
          </w:p>
        </w:tc>
        <w:tc>
          <w:tcPr>
            <w:tcW w:w="1660" w:type="dxa"/>
            <w:vMerge/>
            <w:tcBorders>
              <w:top w:val="single" w:sz="12" w:space="0" w:color="auto"/>
              <w:left w:val="nil"/>
              <w:bottom w:val="single" w:sz="4" w:space="0" w:color="000000"/>
              <w:right w:val="single" w:sz="12" w:space="0" w:color="auto"/>
            </w:tcBorders>
            <w:vAlign w:val="center"/>
            <w:hideMark/>
          </w:tcPr>
          <w:p w:rsidR="00AC6D86" w:rsidRPr="00AC6D86" w:rsidRDefault="00AC6D86" w:rsidP="00AC6D86">
            <w:pPr>
              <w:rPr>
                <w:rFonts w:ascii="Verdana" w:hAnsi="Verdana" w:cs="Calibri"/>
                <w:color w:val="000000"/>
                <w:sz w:val="18"/>
                <w:szCs w:val="18"/>
                <w:lang w:eastAsia="en-GB"/>
              </w:rPr>
            </w:pPr>
          </w:p>
        </w:tc>
      </w:tr>
      <w:tr w:rsidR="00AC6D86" w:rsidRPr="00AC6D86" w:rsidTr="00AC6D86">
        <w:trPr>
          <w:trHeight w:val="600"/>
        </w:trPr>
        <w:tc>
          <w:tcPr>
            <w:tcW w:w="1660" w:type="dxa"/>
            <w:tcBorders>
              <w:top w:val="nil"/>
              <w:left w:val="single" w:sz="12" w:space="0" w:color="auto"/>
              <w:bottom w:val="nil"/>
              <w:right w:val="single" w:sz="4" w:space="0" w:color="auto"/>
            </w:tcBorders>
            <w:shd w:val="clear" w:color="auto" w:fill="auto"/>
            <w:vAlign w:val="center"/>
            <w:hideMark/>
          </w:tcPr>
          <w:p w:rsidR="00AC6D86" w:rsidRPr="00AC6D86" w:rsidRDefault="00AC6D86" w:rsidP="00AC6D86">
            <w:pPr>
              <w:rPr>
                <w:rFonts w:ascii="Verdana" w:hAnsi="Verdana" w:cs="Calibri"/>
                <w:color w:val="000000"/>
                <w:sz w:val="20"/>
                <w:szCs w:val="20"/>
                <w:lang w:eastAsia="en-GB"/>
              </w:rPr>
            </w:pPr>
            <w:r w:rsidRPr="00AC6D86">
              <w:rPr>
                <w:rFonts w:ascii="Verdana" w:hAnsi="Verdana" w:cs="Calibri"/>
                <w:color w:val="000000"/>
                <w:sz w:val="20"/>
                <w:szCs w:val="20"/>
                <w:lang w:eastAsia="en-GB"/>
              </w:rPr>
              <w:t>Almost</w:t>
            </w:r>
            <w:r w:rsidRPr="00AC6D86">
              <w:rPr>
                <w:rFonts w:ascii="Verdana" w:hAnsi="Verdana" w:cs="Calibri"/>
                <w:color w:val="000000"/>
                <w:sz w:val="20"/>
                <w:szCs w:val="20"/>
                <w:lang w:eastAsia="en-GB"/>
              </w:rPr>
              <w:br/>
              <w:t>Certain (5)</w:t>
            </w:r>
          </w:p>
        </w:tc>
        <w:tc>
          <w:tcPr>
            <w:tcW w:w="1600" w:type="dxa"/>
            <w:tcBorders>
              <w:top w:val="nil"/>
              <w:left w:val="nil"/>
              <w:bottom w:val="nil"/>
              <w:right w:val="single" w:sz="4" w:space="0" w:color="auto"/>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340" w:type="dxa"/>
            <w:tcBorders>
              <w:top w:val="nil"/>
              <w:left w:val="single" w:sz="4" w:space="0" w:color="auto"/>
              <w:bottom w:val="nil"/>
              <w:right w:val="nil"/>
            </w:tcBorders>
            <w:shd w:val="thinDiagCross" w:color="000000" w:fill="FF0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660" w:type="dxa"/>
            <w:tcBorders>
              <w:top w:val="nil"/>
              <w:left w:val="nil"/>
              <w:bottom w:val="nil"/>
              <w:right w:val="single" w:sz="12" w:space="0" w:color="auto"/>
            </w:tcBorders>
            <w:shd w:val="thinDiagCross" w:color="000000" w:fill="FF0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r>
      <w:tr w:rsidR="00AC6D86" w:rsidRPr="00AC6D86" w:rsidTr="00AC6D86">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AC6D86" w:rsidRPr="00AC6D86" w:rsidRDefault="00AC6D86" w:rsidP="00AC6D86">
            <w:pPr>
              <w:rPr>
                <w:rFonts w:ascii="Verdana" w:hAnsi="Verdana" w:cs="Calibri"/>
                <w:color w:val="000000"/>
                <w:sz w:val="20"/>
                <w:szCs w:val="20"/>
                <w:lang w:eastAsia="en-GB"/>
              </w:rPr>
            </w:pPr>
            <w:r w:rsidRPr="00AC6D86">
              <w:rPr>
                <w:rFonts w:ascii="Verdana" w:hAnsi="Verdana" w:cs="Calibri"/>
                <w:color w:val="000000"/>
                <w:sz w:val="20"/>
                <w:szCs w:val="20"/>
                <w:lang w:eastAsia="en-GB"/>
              </w:rPr>
              <w:t>Likely (4)</w:t>
            </w:r>
          </w:p>
        </w:tc>
        <w:tc>
          <w:tcPr>
            <w:tcW w:w="1600" w:type="dxa"/>
            <w:tcBorders>
              <w:top w:val="nil"/>
              <w:left w:val="nil"/>
              <w:bottom w:val="nil"/>
              <w:right w:val="single" w:sz="4" w:space="0" w:color="auto"/>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3</w:t>
            </w:r>
          </w:p>
        </w:tc>
        <w:tc>
          <w:tcPr>
            <w:tcW w:w="1340" w:type="dxa"/>
            <w:tcBorders>
              <w:top w:val="nil"/>
              <w:left w:val="single" w:sz="4" w:space="0" w:color="auto"/>
              <w:bottom w:val="nil"/>
              <w:right w:val="nil"/>
            </w:tcBorders>
            <w:shd w:val="thinDiagCross" w:color="000000" w:fill="FF0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660" w:type="dxa"/>
            <w:tcBorders>
              <w:top w:val="nil"/>
              <w:left w:val="nil"/>
              <w:bottom w:val="nil"/>
              <w:right w:val="single" w:sz="12" w:space="0" w:color="auto"/>
            </w:tcBorders>
            <w:shd w:val="thinDiagCross" w:color="000000" w:fill="FF0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r>
      <w:tr w:rsidR="00AC6D86" w:rsidRPr="00AC6D86" w:rsidTr="00AC6D86">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AC6D86" w:rsidRPr="00AC6D86" w:rsidRDefault="00AC6D86" w:rsidP="00AC6D86">
            <w:pPr>
              <w:rPr>
                <w:rFonts w:ascii="Verdana" w:hAnsi="Verdana" w:cs="Calibri"/>
                <w:color w:val="000000"/>
                <w:sz w:val="20"/>
                <w:szCs w:val="20"/>
                <w:lang w:eastAsia="en-GB"/>
              </w:rPr>
            </w:pPr>
            <w:r w:rsidRPr="00AC6D86">
              <w:rPr>
                <w:rFonts w:ascii="Verdana" w:hAnsi="Verdana" w:cs="Calibri"/>
                <w:color w:val="000000"/>
                <w:sz w:val="20"/>
                <w:szCs w:val="20"/>
                <w:lang w:eastAsia="en-GB"/>
              </w:rPr>
              <w:t>Possible (3)</w:t>
            </w:r>
          </w:p>
        </w:tc>
        <w:tc>
          <w:tcPr>
            <w:tcW w:w="1600" w:type="dxa"/>
            <w:tcBorders>
              <w:top w:val="nil"/>
              <w:left w:val="nil"/>
              <w:bottom w:val="nil"/>
              <w:right w:val="nil"/>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340" w:type="dxa"/>
            <w:tcBorders>
              <w:top w:val="single" w:sz="4" w:space="0" w:color="auto"/>
              <w:left w:val="nil"/>
              <w:bottom w:val="nil"/>
              <w:right w:val="single" w:sz="4" w:space="0" w:color="auto"/>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5</w:t>
            </w:r>
          </w:p>
        </w:tc>
        <w:tc>
          <w:tcPr>
            <w:tcW w:w="1340" w:type="dxa"/>
            <w:tcBorders>
              <w:top w:val="nil"/>
              <w:left w:val="nil"/>
              <w:bottom w:val="nil"/>
              <w:right w:val="nil"/>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18</w:t>
            </w:r>
          </w:p>
        </w:tc>
        <w:tc>
          <w:tcPr>
            <w:tcW w:w="1340" w:type="dxa"/>
            <w:tcBorders>
              <w:top w:val="nil"/>
              <w:left w:val="single" w:sz="4" w:space="0" w:color="auto"/>
              <w:bottom w:val="single" w:sz="4" w:space="0" w:color="auto"/>
              <w:right w:val="nil"/>
            </w:tcBorders>
            <w:shd w:val="thinDiagCross" w:color="000000" w:fill="FF0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1</w:t>
            </w:r>
          </w:p>
        </w:tc>
        <w:tc>
          <w:tcPr>
            <w:tcW w:w="1660" w:type="dxa"/>
            <w:tcBorders>
              <w:top w:val="nil"/>
              <w:left w:val="nil"/>
              <w:bottom w:val="single" w:sz="4" w:space="0" w:color="auto"/>
              <w:right w:val="single" w:sz="12" w:space="0" w:color="auto"/>
            </w:tcBorders>
            <w:shd w:val="thinDiagCross" w:color="000000" w:fill="FF0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r>
      <w:tr w:rsidR="00AC6D86" w:rsidRPr="00AC6D86" w:rsidTr="00AC6D86">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AC6D86" w:rsidRPr="00AC6D86" w:rsidRDefault="00AC6D86" w:rsidP="00AC6D86">
            <w:pPr>
              <w:rPr>
                <w:rFonts w:ascii="Verdana" w:hAnsi="Verdana" w:cs="Calibri"/>
                <w:color w:val="000000"/>
                <w:sz w:val="20"/>
                <w:szCs w:val="20"/>
                <w:lang w:eastAsia="en-GB"/>
              </w:rPr>
            </w:pPr>
            <w:r w:rsidRPr="00AC6D86">
              <w:rPr>
                <w:rFonts w:ascii="Verdana" w:hAnsi="Verdana" w:cs="Calibri"/>
                <w:color w:val="000000"/>
                <w:sz w:val="20"/>
                <w:szCs w:val="20"/>
                <w:lang w:eastAsia="en-GB"/>
              </w:rPr>
              <w:t>Unlikely (2)</w:t>
            </w:r>
          </w:p>
        </w:tc>
        <w:tc>
          <w:tcPr>
            <w:tcW w:w="1600" w:type="dxa"/>
            <w:tcBorders>
              <w:top w:val="nil"/>
              <w:left w:val="nil"/>
              <w:bottom w:val="nil"/>
              <w:right w:val="nil"/>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1</w:t>
            </w:r>
          </w:p>
        </w:tc>
        <w:tc>
          <w:tcPr>
            <w:tcW w:w="1340" w:type="dxa"/>
            <w:tcBorders>
              <w:top w:val="nil"/>
              <w:left w:val="nil"/>
              <w:bottom w:val="nil"/>
              <w:right w:val="nil"/>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14</w:t>
            </w:r>
          </w:p>
        </w:tc>
        <w:tc>
          <w:tcPr>
            <w:tcW w:w="1340" w:type="dxa"/>
            <w:tcBorders>
              <w:top w:val="single" w:sz="4" w:space="0" w:color="auto"/>
              <w:left w:val="nil"/>
              <w:bottom w:val="nil"/>
              <w:right w:val="single" w:sz="4" w:space="0" w:color="auto"/>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14</w:t>
            </w:r>
          </w:p>
        </w:tc>
        <w:tc>
          <w:tcPr>
            <w:tcW w:w="1340" w:type="dxa"/>
            <w:tcBorders>
              <w:top w:val="nil"/>
              <w:left w:val="nil"/>
              <w:bottom w:val="nil"/>
              <w:right w:val="nil"/>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7</w:t>
            </w:r>
          </w:p>
        </w:tc>
        <w:tc>
          <w:tcPr>
            <w:tcW w:w="1660" w:type="dxa"/>
            <w:tcBorders>
              <w:top w:val="nil"/>
              <w:left w:val="nil"/>
              <w:bottom w:val="nil"/>
              <w:right w:val="single" w:sz="12" w:space="0" w:color="auto"/>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r>
      <w:tr w:rsidR="00AC6D86" w:rsidRPr="00AC6D86" w:rsidTr="00AC6D86">
        <w:trPr>
          <w:trHeight w:val="600"/>
        </w:trPr>
        <w:tc>
          <w:tcPr>
            <w:tcW w:w="1660" w:type="dxa"/>
            <w:tcBorders>
              <w:top w:val="nil"/>
              <w:left w:val="single" w:sz="12" w:space="0" w:color="auto"/>
              <w:bottom w:val="single" w:sz="12" w:space="0" w:color="auto"/>
              <w:right w:val="single" w:sz="4" w:space="0" w:color="auto"/>
            </w:tcBorders>
            <w:shd w:val="clear" w:color="auto" w:fill="auto"/>
            <w:noWrap/>
            <w:vAlign w:val="center"/>
            <w:hideMark/>
          </w:tcPr>
          <w:p w:rsidR="00AC6D86" w:rsidRPr="00AC6D86" w:rsidRDefault="00AC6D86" w:rsidP="00AC6D86">
            <w:pPr>
              <w:rPr>
                <w:rFonts w:ascii="Verdana" w:hAnsi="Verdana" w:cs="Calibri"/>
                <w:color w:val="000000"/>
                <w:sz w:val="20"/>
                <w:szCs w:val="20"/>
                <w:lang w:eastAsia="en-GB"/>
              </w:rPr>
            </w:pPr>
            <w:r w:rsidRPr="00AC6D86">
              <w:rPr>
                <w:rFonts w:ascii="Verdana" w:hAnsi="Verdana" w:cs="Calibri"/>
                <w:color w:val="000000"/>
                <w:sz w:val="20"/>
                <w:szCs w:val="20"/>
                <w:lang w:eastAsia="en-GB"/>
              </w:rPr>
              <w:t>Rare (1)</w:t>
            </w:r>
          </w:p>
        </w:tc>
        <w:tc>
          <w:tcPr>
            <w:tcW w:w="1600" w:type="dxa"/>
            <w:tcBorders>
              <w:top w:val="nil"/>
              <w:left w:val="nil"/>
              <w:bottom w:val="single" w:sz="12" w:space="0" w:color="auto"/>
              <w:right w:val="nil"/>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340" w:type="dxa"/>
            <w:tcBorders>
              <w:top w:val="single" w:sz="4" w:space="0" w:color="auto"/>
              <w:left w:val="nil"/>
              <w:bottom w:val="single" w:sz="12" w:space="0" w:color="auto"/>
              <w:right w:val="single" w:sz="4" w:space="0" w:color="auto"/>
            </w:tcBorders>
            <w:shd w:val="thinHorzStripe" w:color="000000" w:fill="00B05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c>
          <w:tcPr>
            <w:tcW w:w="1660" w:type="dxa"/>
            <w:tcBorders>
              <w:top w:val="nil"/>
              <w:left w:val="nil"/>
              <w:bottom w:val="single" w:sz="12" w:space="0" w:color="auto"/>
              <w:right w:val="single" w:sz="12" w:space="0" w:color="auto"/>
            </w:tcBorders>
            <w:shd w:val="thinVertStripe" w:color="000000" w:fill="FFC000"/>
            <w:noWrap/>
            <w:vAlign w:val="center"/>
            <w:hideMark/>
          </w:tcPr>
          <w:p w:rsidR="00AC6D86" w:rsidRPr="00AC6D86" w:rsidRDefault="00AC6D86" w:rsidP="00AC6D86">
            <w:pPr>
              <w:jc w:val="center"/>
              <w:rPr>
                <w:rFonts w:ascii="Verdana" w:hAnsi="Verdana" w:cs="Calibri"/>
                <w:b/>
                <w:bCs/>
                <w:color w:val="000000"/>
                <w:lang w:eastAsia="en-GB"/>
              </w:rPr>
            </w:pPr>
            <w:r w:rsidRPr="00AC6D86">
              <w:rPr>
                <w:rFonts w:ascii="Verdana" w:hAnsi="Verdana" w:cs="Calibri"/>
                <w:b/>
                <w:bCs/>
                <w:color w:val="000000"/>
                <w:lang w:eastAsia="en-GB"/>
              </w:rPr>
              <w:t> </w:t>
            </w:r>
          </w:p>
        </w:tc>
      </w:tr>
    </w:tbl>
    <w:p w:rsidR="00AC6D86" w:rsidRDefault="00AC6D86" w:rsidP="008919F7">
      <w:pPr>
        <w:pStyle w:val="ListParagraph"/>
        <w:ind w:left="426"/>
        <w:rPr>
          <w:rFonts w:cs="Arial"/>
        </w:rPr>
      </w:pPr>
    </w:p>
    <w:p w:rsidR="00B647CA" w:rsidRDefault="00B647CA" w:rsidP="000F409C">
      <w:pPr>
        <w:rPr>
          <w:rFonts w:cs="Arial"/>
          <w:b/>
        </w:rPr>
      </w:pPr>
      <w:r>
        <w:rPr>
          <w:rFonts w:cs="Arial"/>
          <w:b/>
        </w:rPr>
        <w:t>Climate Change / Environmental Impact</w:t>
      </w:r>
    </w:p>
    <w:p w:rsidR="00B647CA" w:rsidRPr="006F4BA2" w:rsidRDefault="00B647CA" w:rsidP="00BD4A81">
      <w:pPr>
        <w:numPr>
          <w:ilvl w:val="0"/>
          <w:numId w:val="1"/>
        </w:numPr>
        <w:ind w:left="426" w:hanging="426"/>
        <w:rPr>
          <w:rFonts w:cs="Arial"/>
        </w:rPr>
      </w:pPr>
      <w:r w:rsidRPr="006F4BA2">
        <w:rPr>
          <w:rFonts w:cs="Arial"/>
        </w:rPr>
        <w:t>There are no issues arising directly from this report</w:t>
      </w:r>
    </w:p>
    <w:p w:rsidR="00B647CA" w:rsidRPr="006F4BA2" w:rsidRDefault="00B647CA" w:rsidP="006F4BA2">
      <w:pPr>
        <w:ind w:left="426"/>
        <w:rPr>
          <w:rFonts w:cs="Arial"/>
        </w:rPr>
      </w:pPr>
    </w:p>
    <w:p w:rsidR="00B647CA" w:rsidRDefault="00B647CA" w:rsidP="006F4BA2">
      <w:pPr>
        <w:rPr>
          <w:rFonts w:cs="Arial"/>
          <w:b/>
        </w:rPr>
      </w:pPr>
      <w:r w:rsidRPr="00B647CA">
        <w:rPr>
          <w:rFonts w:cs="Arial"/>
          <w:b/>
        </w:rPr>
        <w:t>Equalities impact</w:t>
      </w:r>
    </w:p>
    <w:p w:rsidR="00B647CA" w:rsidRPr="006F4BA2" w:rsidRDefault="00B647CA" w:rsidP="00BD4A81">
      <w:pPr>
        <w:numPr>
          <w:ilvl w:val="0"/>
          <w:numId w:val="1"/>
        </w:numPr>
        <w:ind w:left="426" w:hanging="426"/>
        <w:rPr>
          <w:rFonts w:cs="Arial"/>
        </w:rPr>
      </w:pPr>
      <w:r w:rsidRPr="006F4BA2">
        <w:rPr>
          <w:rFonts w:cs="Arial"/>
        </w:rPr>
        <w:t>There are no equalities impacts arising directly from this report</w:t>
      </w:r>
    </w:p>
    <w:p w:rsidR="006F4BA2" w:rsidRPr="006F4BA2" w:rsidRDefault="006F4BA2" w:rsidP="006F4BA2">
      <w:pPr>
        <w:rPr>
          <w:rFonts w:cs="Arial"/>
        </w:rPr>
      </w:pPr>
    </w:p>
    <w:p w:rsidR="00B647CA" w:rsidRDefault="00B647CA" w:rsidP="006F4BA2">
      <w:pPr>
        <w:rPr>
          <w:rFonts w:cs="Arial"/>
          <w:b/>
        </w:rPr>
      </w:pPr>
      <w:r w:rsidRPr="00B647CA">
        <w:rPr>
          <w:rFonts w:cs="Arial"/>
          <w:b/>
        </w:rPr>
        <w:t>Financial Implications</w:t>
      </w:r>
    </w:p>
    <w:p w:rsidR="00B647CA" w:rsidRPr="006F4BA2" w:rsidRDefault="006D7D0D" w:rsidP="00BD4A81">
      <w:pPr>
        <w:numPr>
          <w:ilvl w:val="0"/>
          <w:numId w:val="1"/>
        </w:numPr>
        <w:ind w:left="426" w:hanging="426"/>
        <w:rPr>
          <w:rFonts w:cs="Arial"/>
        </w:rPr>
      </w:pPr>
      <w:r w:rsidRPr="006D7D0D">
        <w:rPr>
          <w:rFonts w:cs="Arial"/>
        </w:rPr>
        <w:t>The Robust management of risk should assist in mitigating the financial impact to the</w:t>
      </w:r>
      <w:r>
        <w:rPr>
          <w:rFonts w:cs="Arial"/>
        </w:rPr>
        <w:t xml:space="preserve"> Council should the event occur</w:t>
      </w:r>
      <w:r w:rsidR="00B647CA" w:rsidRPr="006F4BA2">
        <w:rPr>
          <w:rFonts w:cs="Arial"/>
        </w:rPr>
        <w:t>.</w:t>
      </w:r>
    </w:p>
    <w:p w:rsidR="00714894" w:rsidRPr="006F4BA2" w:rsidRDefault="00714894" w:rsidP="00445174">
      <w:pPr>
        <w:rPr>
          <w:rFonts w:cs="Arial"/>
        </w:rPr>
      </w:pPr>
    </w:p>
    <w:p w:rsidR="00445174" w:rsidRDefault="005044C6" w:rsidP="00445174">
      <w:pPr>
        <w:rPr>
          <w:rFonts w:cs="Arial"/>
          <w:b/>
        </w:rPr>
      </w:pPr>
      <w:r w:rsidRPr="005044C6">
        <w:rPr>
          <w:rFonts w:cs="Arial"/>
          <w:b/>
        </w:rPr>
        <w:t>Legal Implications</w:t>
      </w: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0C7E80" w:rsidRPr="006F4BA2" w:rsidRDefault="000C7E80" w:rsidP="000C7E80">
      <w:pPr>
        <w:ind w:left="426"/>
        <w:rPr>
          <w:rFonts w:cs="Arial"/>
          <w:b/>
        </w:rPr>
      </w:pP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98273F">
            <w:pPr>
              <w:tabs>
                <w:tab w:val="left" w:pos="720"/>
                <w:tab w:val="left" w:pos="1440"/>
                <w:tab w:val="left" w:pos="2160"/>
                <w:tab w:val="left" w:pos="2880"/>
              </w:tabs>
            </w:pPr>
            <w:r>
              <w:t xml:space="preserve">Name:  </w:t>
            </w:r>
            <w:r w:rsidR="0098273F">
              <w:t>Bill Lewis</w:t>
            </w:r>
          </w:p>
        </w:tc>
      </w:tr>
      <w:tr w:rsidR="005D4C4D">
        <w:trPr>
          <w:trHeight w:val="270"/>
        </w:trPr>
        <w:tc>
          <w:tcPr>
            <w:tcW w:w="9664" w:type="dxa"/>
          </w:tcPr>
          <w:p w:rsidR="005D4C4D" w:rsidRDefault="005D4C4D" w:rsidP="0098273F">
            <w:pPr>
              <w:tabs>
                <w:tab w:val="left" w:pos="720"/>
                <w:tab w:val="left" w:pos="1440"/>
                <w:tab w:val="left" w:pos="2160"/>
                <w:tab w:val="left" w:pos="2880"/>
              </w:tabs>
            </w:pPr>
            <w:r>
              <w:t xml:space="preserve">Job title:  </w:t>
            </w:r>
            <w:r w:rsidR="006E1B35">
              <w:t>Financ</w:t>
            </w:r>
            <w:r w:rsidR="00B949C8">
              <w:t xml:space="preserve">ial </w:t>
            </w:r>
            <w:r w:rsidR="0098273F">
              <w:t>Accounting Manager</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98273F">
            <w:pPr>
              <w:tabs>
                <w:tab w:val="left" w:pos="720"/>
                <w:tab w:val="left" w:pos="1440"/>
                <w:tab w:val="left" w:pos="2160"/>
                <w:tab w:val="left" w:pos="2880"/>
              </w:tabs>
              <w:rPr>
                <w:u w:val="single"/>
                <w:lang w:val="de-DE"/>
              </w:rPr>
            </w:pPr>
            <w:r w:rsidRPr="0098273F">
              <w:rPr>
                <w:lang w:val="de-DE"/>
              </w:rPr>
              <w:t>Tel:  01865 252</w:t>
            </w:r>
            <w:r w:rsidR="0098273F" w:rsidRPr="0098273F">
              <w:rPr>
                <w:lang w:val="de-DE"/>
              </w:rPr>
              <w:t>607</w:t>
            </w:r>
            <w:r w:rsidRPr="0098273F">
              <w:rPr>
                <w:lang w:val="de-DE"/>
              </w:rPr>
              <w:t xml:space="preserve">  e-mail:  </w:t>
            </w:r>
            <w:r w:rsidR="0098273F" w:rsidRPr="0098273F">
              <w:rPr>
                <w:lang w:val="de-DE"/>
              </w:rPr>
              <w:t>blewis@oxford.gov.uk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p w:rsidR="009B2ED0" w:rsidRDefault="005D4C4D">
      <w:r>
        <w:rPr>
          <w:b/>
          <w:bCs/>
        </w:rPr>
        <w:t>Version number:</w:t>
      </w:r>
      <w:r w:rsidR="00CC2F8A">
        <w:rPr>
          <w:b/>
          <w:bCs/>
        </w:rPr>
        <w:t xml:space="preserve"> </w:t>
      </w:r>
    </w:p>
    <w:sectPr w:rsidR="009B2ED0" w:rsidSect="00472446">
      <w:pgSz w:w="11906" w:h="16838"/>
      <w:pgMar w:top="1134" w:right="1418" w:bottom="1361"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EF" w:rsidRDefault="001D52EF">
      <w:r>
        <w:separator/>
      </w:r>
    </w:p>
  </w:endnote>
  <w:endnote w:type="continuationSeparator" w:id="0">
    <w:p w:rsidR="001D52EF" w:rsidRDefault="001D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EF" w:rsidRDefault="001D52EF">
      <w:r>
        <w:separator/>
      </w:r>
    </w:p>
  </w:footnote>
  <w:footnote w:type="continuationSeparator" w:id="0">
    <w:p w:rsidR="001D52EF" w:rsidRDefault="001D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9DFA0CC4"/>
    <w:lvl w:ilvl="0" w:tplc="46324D9C">
      <w:start w:val="1"/>
      <w:numFmt w:val="decimal"/>
      <w:lvlText w:val="%1."/>
      <w:lvlJc w:val="left"/>
      <w:pPr>
        <w:ind w:left="1495" w:hanging="360"/>
      </w:pPr>
      <w:rPr>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6">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F432177"/>
    <w:multiLevelType w:val="hybridMultilevel"/>
    <w:tmpl w:val="0BE0EA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4"/>
  </w:num>
  <w:num w:numId="4">
    <w:abstractNumId w:val="14"/>
  </w:num>
  <w:num w:numId="5">
    <w:abstractNumId w:val="12"/>
  </w:num>
  <w:num w:numId="6">
    <w:abstractNumId w:val="18"/>
  </w:num>
  <w:num w:numId="7">
    <w:abstractNumId w:val="10"/>
  </w:num>
  <w:num w:numId="8">
    <w:abstractNumId w:val="7"/>
  </w:num>
  <w:num w:numId="9">
    <w:abstractNumId w:val="1"/>
  </w:num>
  <w:num w:numId="10">
    <w:abstractNumId w:val="5"/>
  </w:num>
  <w:num w:numId="11">
    <w:abstractNumId w:val="16"/>
  </w:num>
  <w:num w:numId="12">
    <w:abstractNumId w:val="13"/>
  </w:num>
  <w:num w:numId="13">
    <w:abstractNumId w:val="17"/>
  </w:num>
  <w:num w:numId="14">
    <w:abstractNumId w:val="21"/>
  </w:num>
  <w:num w:numId="15">
    <w:abstractNumId w:val="11"/>
  </w:num>
  <w:num w:numId="16">
    <w:abstractNumId w:val="20"/>
  </w:num>
  <w:num w:numId="17">
    <w:abstractNumId w:val="19"/>
  </w:num>
  <w:num w:numId="18">
    <w:abstractNumId w:val="9"/>
  </w:num>
  <w:num w:numId="19">
    <w:abstractNumId w:val="15"/>
  </w:num>
  <w:num w:numId="20">
    <w:abstractNumId w:val="22"/>
  </w:num>
  <w:num w:numId="21">
    <w:abstractNumId w:val="2"/>
  </w:num>
  <w:num w:numId="22">
    <w:abstractNumId w:val="6"/>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16FF"/>
    <w:rsid w:val="000150BE"/>
    <w:rsid w:val="000209F8"/>
    <w:rsid w:val="000226F8"/>
    <w:rsid w:val="00022CD2"/>
    <w:rsid w:val="0003315D"/>
    <w:rsid w:val="00035147"/>
    <w:rsid w:val="000359CD"/>
    <w:rsid w:val="00035A9B"/>
    <w:rsid w:val="00035D3E"/>
    <w:rsid w:val="000372FD"/>
    <w:rsid w:val="00037810"/>
    <w:rsid w:val="000512FC"/>
    <w:rsid w:val="00061638"/>
    <w:rsid w:val="0007119E"/>
    <w:rsid w:val="000800A8"/>
    <w:rsid w:val="000824E5"/>
    <w:rsid w:val="00083C8A"/>
    <w:rsid w:val="00083E8E"/>
    <w:rsid w:val="00094258"/>
    <w:rsid w:val="000943BA"/>
    <w:rsid w:val="00097027"/>
    <w:rsid w:val="000A1F5E"/>
    <w:rsid w:val="000A2EF0"/>
    <w:rsid w:val="000A59AB"/>
    <w:rsid w:val="000A6EFA"/>
    <w:rsid w:val="000B2944"/>
    <w:rsid w:val="000C3F41"/>
    <w:rsid w:val="000C3F42"/>
    <w:rsid w:val="000C5C80"/>
    <w:rsid w:val="000C5DA1"/>
    <w:rsid w:val="000C61B2"/>
    <w:rsid w:val="000C7E80"/>
    <w:rsid w:val="000E3982"/>
    <w:rsid w:val="000E3AD2"/>
    <w:rsid w:val="000E4872"/>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217E"/>
    <w:rsid w:val="001332FB"/>
    <w:rsid w:val="0013589B"/>
    <w:rsid w:val="001511AA"/>
    <w:rsid w:val="001552CD"/>
    <w:rsid w:val="00155B6E"/>
    <w:rsid w:val="00160A94"/>
    <w:rsid w:val="00161381"/>
    <w:rsid w:val="001662D8"/>
    <w:rsid w:val="00172CC0"/>
    <w:rsid w:val="0018188C"/>
    <w:rsid w:val="00182BE8"/>
    <w:rsid w:val="0018663D"/>
    <w:rsid w:val="001918F7"/>
    <w:rsid w:val="001955EA"/>
    <w:rsid w:val="001A0D94"/>
    <w:rsid w:val="001A38FB"/>
    <w:rsid w:val="001A59EF"/>
    <w:rsid w:val="001A7428"/>
    <w:rsid w:val="001B71A6"/>
    <w:rsid w:val="001C12BA"/>
    <w:rsid w:val="001C14DE"/>
    <w:rsid w:val="001C2C32"/>
    <w:rsid w:val="001C5873"/>
    <w:rsid w:val="001D1A03"/>
    <w:rsid w:val="001D1CE1"/>
    <w:rsid w:val="001D52EF"/>
    <w:rsid w:val="001D7CD8"/>
    <w:rsid w:val="001E7A5E"/>
    <w:rsid w:val="001F236C"/>
    <w:rsid w:val="001F3FA7"/>
    <w:rsid w:val="00204166"/>
    <w:rsid w:val="002059C1"/>
    <w:rsid w:val="002067B3"/>
    <w:rsid w:val="00210798"/>
    <w:rsid w:val="00211DE3"/>
    <w:rsid w:val="00212B06"/>
    <w:rsid w:val="002168D6"/>
    <w:rsid w:val="00217B95"/>
    <w:rsid w:val="00222D83"/>
    <w:rsid w:val="00225BFE"/>
    <w:rsid w:val="00227C81"/>
    <w:rsid w:val="00240250"/>
    <w:rsid w:val="00240A01"/>
    <w:rsid w:val="002461BE"/>
    <w:rsid w:val="00253880"/>
    <w:rsid w:val="00260B0E"/>
    <w:rsid w:val="00263649"/>
    <w:rsid w:val="00265840"/>
    <w:rsid w:val="0026668B"/>
    <w:rsid w:val="002730E7"/>
    <w:rsid w:val="00274856"/>
    <w:rsid w:val="00283734"/>
    <w:rsid w:val="002853B4"/>
    <w:rsid w:val="0028751D"/>
    <w:rsid w:val="002913F5"/>
    <w:rsid w:val="00293CF3"/>
    <w:rsid w:val="00294C46"/>
    <w:rsid w:val="002A465B"/>
    <w:rsid w:val="002B1B9E"/>
    <w:rsid w:val="002B3272"/>
    <w:rsid w:val="002B3F3D"/>
    <w:rsid w:val="002B79FC"/>
    <w:rsid w:val="002C35AB"/>
    <w:rsid w:val="002D0CDF"/>
    <w:rsid w:val="002D3856"/>
    <w:rsid w:val="002E2A7E"/>
    <w:rsid w:val="002E7245"/>
    <w:rsid w:val="002E7B2E"/>
    <w:rsid w:val="002F058F"/>
    <w:rsid w:val="002F1875"/>
    <w:rsid w:val="002F40E8"/>
    <w:rsid w:val="002F7B75"/>
    <w:rsid w:val="003072AE"/>
    <w:rsid w:val="00315362"/>
    <w:rsid w:val="0032749E"/>
    <w:rsid w:val="00330299"/>
    <w:rsid w:val="00330BE7"/>
    <w:rsid w:val="00332507"/>
    <w:rsid w:val="003325B6"/>
    <w:rsid w:val="0033385A"/>
    <w:rsid w:val="0033503E"/>
    <w:rsid w:val="00335660"/>
    <w:rsid w:val="003473B2"/>
    <w:rsid w:val="00350047"/>
    <w:rsid w:val="0035020F"/>
    <w:rsid w:val="0035126E"/>
    <w:rsid w:val="0035451F"/>
    <w:rsid w:val="00354C82"/>
    <w:rsid w:val="00356672"/>
    <w:rsid w:val="00362BDE"/>
    <w:rsid w:val="00372049"/>
    <w:rsid w:val="003725E4"/>
    <w:rsid w:val="0037288A"/>
    <w:rsid w:val="003741D2"/>
    <w:rsid w:val="00377013"/>
    <w:rsid w:val="00384F1A"/>
    <w:rsid w:val="00387A11"/>
    <w:rsid w:val="003A197C"/>
    <w:rsid w:val="003B022E"/>
    <w:rsid w:val="003B077C"/>
    <w:rsid w:val="003B7B73"/>
    <w:rsid w:val="003C5909"/>
    <w:rsid w:val="003C712C"/>
    <w:rsid w:val="003D6B03"/>
    <w:rsid w:val="003D700B"/>
    <w:rsid w:val="003E1847"/>
    <w:rsid w:val="003E28CA"/>
    <w:rsid w:val="003E6245"/>
    <w:rsid w:val="003F462C"/>
    <w:rsid w:val="00401946"/>
    <w:rsid w:val="00402EA9"/>
    <w:rsid w:val="00413E26"/>
    <w:rsid w:val="00416F5F"/>
    <w:rsid w:val="00417135"/>
    <w:rsid w:val="004258ED"/>
    <w:rsid w:val="004331BA"/>
    <w:rsid w:val="00435C74"/>
    <w:rsid w:val="00444E8B"/>
    <w:rsid w:val="00445174"/>
    <w:rsid w:val="0045464F"/>
    <w:rsid w:val="00454796"/>
    <w:rsid w:val="004563C8"/>
    <w:rsid w:val="00463DCF"/>
    <w:rsid w:val="00463E24"/>
    <w:rsid w:val="004651DF"/>
    <w:rsid w:val="00472446"/>
    <w:rsid w:val="00472F74"/>
    <w:rsid w:val="004735DB"/>
    <w:rsid w:val="00474485"/>
    <w:rsid w:val="00475F85"/>
    <w:rsid w:val="004828D3"/>
    <w:rsid w:val="00486412"/>
    <w:rsid w:val="00491160"/>
    <w:rsid w:val="0049146A"/>
    <w:rsid w:val="004935F2"/>
    <w:rsid w:val="00493B65"/>
    <w:rsid w:val="004A2A9F"/>
    <w:rsid w:val="004A3F68"/>
    <w:rsid w:val="004A494A"/>
    <w:rsid w:val="004A5381"/>
    <w:rsid w:val="004A700B"/>
    <w:rsid w:val="004B0400"/>
    <w:rsid w:val="004B19A9"/>
    <w:rsid w:val="004B2094"/>
    <w:rsid w:val="004B2C60"/>
    <w:rsid w:val="004B77FC"/>
    <w:rsid w:val="004C0542"/>
    <w:rsid w:val="004C0C0E"/>
    <w:rsid w:val="004C43DE"/>
    <w:rsid w:val="004D034A"/>
    <w:rsid w:val="004D33D0"/>
    <w:rsid w:val="004D4BC9"/>
    <w:rsid w:val="004D67CD"/>
    <w:rsid w:val="004E0B74"/>
    <w:rsid w:val="004F74DE"/>
    <w:rsid w:val="005044C6"/>
    <w:rsid w:val="005064F0"/>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B94"/>
    <w:rsid w:val="00533FD2"/>
    <w:rsid w:val="00536C64"/>
    <w:rsid w:val="00541DC1"/>
    <w:rsid w:val="005506D6"/>
    <w:rsid w:val="00551191"/>
    <w:rsid w:val="00554844"/>
    <w:rsid w:val="005578C1"/>
    <w:rsid w:val="0056210B"/>
    <w:rsid w:val="0056251F"/>
    <w:rsid w:val="005630E7"/>
    <w:rsid w:val="00570D05"/>
    <w:rsid w:val="00583B45"/>
    <w:rsid w:val="005905C2"/>
    <w:rsid w:val="005917AE"/>
    <w:rsid w:val="005925B6"/>
    <w:rsid w:val="005976C4"/>
    <w:rsid w:val="005A38B3"/>
    <w:rsid w:val="005A5B9F"/>
    <w:rsid w:val="005A664C"/>
    <w:rsid w:val="005B0232"/>
    <w:rsid w:val="005B2AF6"/>
    <w:rsid w:val="005C4131"/>
    <w:rsid w:val="005D33C2"/>
    <w:rsid w:val="005D3F27"/>
    <w:rsid w:val="005D44A4"/>
    <w:rsid w:val="005D4C4D"/>
    <w:rsid w:val="005D546F"/>
    <w:rsid w:val="005D6C51"/>
    <w:rsid w:val="005E0A67"/>
    <w:rsid w:val="005E0B00"/>
    <w:rsid w:val="005E7711"/>
    <w:rsid w:val="005F14EF"/>
    <w:rsid w:val="005F174D"/>
    <w:rsid w:val="005F4140"/>
    <w:rsid w:val="005F7D21"/>
    <w:rsid w:val="00600995"/>
    <w:rsid w:val="00601057"/>
    <w:rsid w:val="00603981"/>
    <w:rsid w:val="00603E8E"/>
    <w:rsid w:val="00607866"/>
    <w:rsid w:val="0061340A"/>
    <w:rsid w:val="00613D43"/>
    <w:rsid w:val="006173D8"/>
    <w:rsid w:val="006251C1"/>
    <w:rsid w:val="00635911"/>
    <w:rsid w:val="0065305B"/>
    <w:rsid w:val="00654A79"/>
    <w:rsid w:val="00656E91"/>
    <w:rsid w:val="00662A0F"/>
    <w:rsid w:val="00670340"/>
    <w:rsid w:val="00675C69"/>
    <w:rsid w:val="00676008"/>
    <w:rsid w:val="00677B45"/>
    <w:rsid w:val="00682D25"/>
    <w:rsid w:val="0068485E"/>
    <w:rsid w:val="00687F6F"/>
    <w:rsid w:val="0069059C"/>
    <w:rsid w:val="00691981"/>
    <w:rsid w:val="0069250F"/>
    <w:rsid w:val="00693ED6"/>
    <w:rsid w:val="00697879"/>
    <w:rsid w:val="006A5B5A"/>
    <w:rsid w:val="006B2096"/>
    <w:rsid w:val="006C24A9"/>
    <w:rsid w:val="006C7363"/>
    <w:rsid w:val="006D20BA"/>
    <w:rsid w:val="006D645E"/>
    <w:rsid w:val="006D7D0D"/>
    <w:rsid w:val="006E1B35"/>
    <w:rsid w:val="006E1B5A"/>
    <w:rsid w:val="006E1BC3"/>
    <w:rsid w:val="006E36F3"/>
    <w:rsid w:val="006E3831"/>
    <w:rsid w:val="006E44BB"/>
    <w:rsid w:val="006E67C4"/>
    <w:rsid w:val="006F4BA2"/>
    <w:rsid w:val="006F5910"/>
    <w:rsid w:val="00701296"/>
    <w:rsid w:val="00701D7D"/>
    <w:rsid w:val="00704730"/>
    <w:rsid w:val="007053CF"/>
    <w:rsid w:val="00706224"/>
    <w:rsid w:val="007070D0"/>
    <w:rsid w:val="00710466"/>
    <w:rsid w:val="00710A17"/>
    <w:rsid w:val="007137F7"/>
    <w:rsid w:val="00714894"/>
    <w:rsid w:val="007154CE"/>
    <w:rsid w:val="0072307E"/>
    <w:rsid w:val="0072591D"/>
    <w:rsid w:val="00727179"/>
    <w:rsid w:val="00727ED1"/>
    <w:rsid w:val="00740F03"/>
    <w:rsid w:val="007427D4"/>
    <w:rsid w:val="00752C6B"/>
    <w:rsid w:val="00764079"/>
    <w:rsid w:val="00766998"/>
    <w:rsid w:val="0077104B"/>
    <w:rsid w:val="00771F55"/>
    <w:rsid w:val="00773961"/>
    <w:rsid w:val="0077440D"/>
    <w:rsid w:val="00775A30"/>
    <w:rsid w:val="00777F68"/>
    <w:rsid w:val="00777FC6"/>
    <w:rsid w:val="0078409C"/>
    <w:rsid w:val="007A68B2"/>
    <w:rsid w:val="007B314C"/>
    <w:rsid w:val="007C1DC6"/>
    <w:rsid w:val="007C6046"/>
    <w:rsid w:val="007C63CC"/>
    <w:rsid w:val="007D13DA"/>
    <w:rsid w:val="007D331D"/>
    <w:rsid w:val="007E1B08"/>
    <w:rsid w:val="007F1631"/>
    <w:rsid w:val="007F3944"/>
    <w:rsid w:val="007F5272"/>
    <w:rsid w:val="007F5BF2"/>
    <w:rsid w:val="007F76F2"/>
    <w:rsid w:val="0080618D"/>
    <w:rsid w:val="00814BB4"/>
    <w:rsid w:val="00815488"/>
    <w:rsid w:val="00815E85"/>
    <w:rsid w:val="0082449A"/>
    <w:rsid w:val="00824A81"/>
    <w:rsid w:val="008306D4"/>
    <w:rsid w:val="008346CA"/>
    <w:rsid w:val="00834BCC"/>
    <w:rsid w:val="0083795F"/>
    <w:rsid w:val="008455D5"/>
    <w:rsid w:val="00846DC5"/>
    <w:rsid w:val="00851BB4"/>
    <w:rsid w:val="0085475D"/>
    <w:rsid w:val="00855B96"/>
    <w:rsid w:val="00871681"/>
    <w:rsid w:val="00877A3D"/>
    <w:rsid w:val="00885D91"/>
    <w:rsid w:val="008919F7"/>
    <w:rsid w:val="00891DC1"/>
    <w:rsid w:val="00895AE4"/>
    <w:rsid w:val="008A4353"/>
    <w:rsid w:val="008A7BD9"/>
    <w:rsid w:val="008B286F"/>
    <w:rsid w:val="008C1A0F"/>
    <w:rsid w:val="008C1BB8"/>
    <w:rsid w:val="008C5C1C"/>
    <w:rsid w:val="008D3203"/>
    <w:rsid w:val="008E001F"/>
    <w:rsid w:val="008E09D0"/>
    <w:rsid w:val="008E1145"/>
    <w:rsid w:val="008E285A"/>
    <w:rsid w:val="008E5A73"/>
    <w:rsid w:val="008F289B"/>
    <w:rsid w:val="008F4DA3"/>
    <w:rsid w:val="008F67EF"/>
    <w:rsid w:val="008F7B19"/>
    <w:rsid w:val="00900C7F"/>
    <w:rsid w:val="00903458"/>
    <w:rsid w:val="00903C3C"/>
    <w:rsid w:val="009051BE"/>
    <w:rsid w:val="0091176F"/>
    <w:rsid w:val="00912361"/>
    <w:rsid w:val="009142E5"/>
    <w:rsid w:val="00915EC3"/>
    <w:rsid w:val="009176DB"/>
    <w:rsid w:val="00922EBF"/>
    <w:rsid w:val="00926E63"/>
    <w:rsid w:val="00934EA9"/>
    <w:rsid w:val="00941E4F"/>
    <w:rsid w:val="00945E7B"/>
    <w:rsid w:val="0094682F"/>
    <w:rsid w:val="009473F5"/>
    <w:rsid w:val="009538B4"/>
    <w:rsid w:val="0096047C"/>
    <w:rsid w:val="009620A8"/>
    <w:rsid w:val="0096633B"/>
    <w:rsid w:val="00966BBE"/>
    <w:rsid w:val="0096749E"/>
    <w:rsid w:val="00971E0D"/>
    <w:rsid w:val="00972FEF"/>
    <w:rsid w:val="00976E30"/>
    <w:rsid w:val="0098273F"/>
    <w:rsid w:val="00986C1F"/>
    <w:rsid w:val="00995E4A"/>
    <w:rsid w:val="009B17D6"/>
    <w:rsid w:val="009B2610"/>
    <w:rsid w:val="009B2ED0"/>
    <w:rsid w:val="009B3D3E"/>
    <w:rsid w:val="009B5A72"/>
    <w:rsid w:val="009C004C"/>
    <w:rsid w:val="009D3912"/>
    <w:rsid w:val="009D3FFE"/>
    <w:rsid w:val="009D6722"/>
    <w:rsid w:val="009D7937"/>
    <w:rsid w:val="009E0A5A"/>
    <w:rsid w:val="009E34F6"/>
    <w:rsid w:val="009E6D5E"/>
    <w:rsid w:val="009F6875"/>
    <w:rsid w:val="00A01542"/>
    <w:rsid w:val="00A01D6B"/>
    <w:rsid w:val="00A04E24"/>
    <w:rsid w:val="00A06DE4"/>
    <w:rsid w:val="00A10B89"/>
    <w:rsid w:val="00A20074"/>
    <w:rsid w:val="00A21178"/>
    <w:rsid w:val="00A24256"/>
    <w:rsid w:val="00A27069"/>
    <w:rsid w:val="00A32774"/>
    <w:rsid w:val="00A32A7B"/>
    <w:rsid w:val="00A3538B"/>
    <w:rsid w:val="00A36D0D"/>
    <w:rsid w:val="00A4088F"/>
    <w:rsid w:val="00A40943"/>
    <w:rsid w:val="00A4396F"/>
    <w:rsid w:val="00A45D10"/>
    <w:rsid w:val="00A47CCA"/>
    <w:rsid w:val="00A50E23"/>
    <w:rsid w:val="00A51044"/>
    <w:rsid w:val="00A566D4"/>
    <w:rsid w:val="00A60507"/>
    <w:rsid w:val="00A65250"/>
    <w:rsid w:val="00A7570E"/>
    <w:rsid w:val="00A765CE"/>
    <w:rsid w:val="00A77C53"/>
    <w:rsid w:val="00A8286B"/>
    <w:rsid w:val="00A840F5"/>
    <w:rsid w:val="00A905DF"/>
    <w:rsid w:val="00A91CBA"/>
    <w:rsid w:val="00A97EDB"/>
    <w:rsid w:val="00AA082E"/>
    <w:rsid w:val="00AA5C80"/>
    <w:rsid w:val="00AA601A"/>
    <w:rsid w:val="00AA7C75"/>
    <w:rsid w:val="00AB1A3D"/>
    <w:rsid w:val="00AB1B1F"/>
    <w:rsid w:val="00AC4B4B"/>
    <w:rsid w:val="00AC5820"/>
    <w:rsid w:val="00AC6D86"/>
    <w:rsid w:val="00AD08CE"/>
    <w:rsid w:val="00AD0F68"/>
    <w:rsid w:val="00AD3823"/>
    <w:rsid w:val="00AD6B0C"/>
    <w:rsid w:val="00AE0538"/>
    <w:rsid w:val="00AE12E9"/>
    <w:rsid w:val="00AF08EC"/>
    <w:rsid w:val="00AF5A15"/>
    <w:rsid w:val="00AF7455"/>
    <w:rsid w:val="00AF79B7"/>
    <w:rsid w:val="00B05FE6"/>
    <w:rsid w:val="00B10289"/>
    <w:rsid w:val="00B10A93"/>
    <w:rsid w:val="00B10F8A"/>
    <w:rsid w:val="00B11021"/>
    <w:rsid w:val="00B1424E"/>
    <w:rsid w:val="00B17A5F"/>
    <w:rsid w:val="00B23FD9"/>
    <w:rsid w:val="00B35F74"/>
    <w:rsid w:val="00B4694E"/>
    <w:rsid w:val="00B5477F"/>
    <w:rsid w:val="00B5509D"/>
    <w:rsid w:val="00B60D6F"/>
    <w:rsid w:val="00B647CA"/>
    <w:rsid w:val="00B64C35"/>
    <w:rsid w:val="00B72E67"/>
    <w:rsid w:val="00B72FD0"/>
    <w:rsid w:val="00B7705C"/>
    <w:rsid w:val="00B80F0F"/>
    <w:rsid w:val="00B822CF"/>
    <w:rsid w:val="00B84406"/>
    <w:rsid w:val="00B8588B"/>
    <w:rsid w:val="00B86D66"/>
    <w:rsid w:val="00B876E7"/>
    <w:rsid w:val="00B92D4E"/>
    <w:rsid w:val="00B93406"/>
    <w:rsid w:val="00B949C8"/>
    <w:rsid w:val="00BA0E6F"/>
    <w:rsid w:val="00BA1074"/>
    <w:rsid w:val="00BA2E9D"/>
    <w:rsid w:val="00BA385D"/>
    <w:rsid w:val="00BB77BA"/>
    <w:rsid w:val="00BC75F6"/>
    <w:rsid w:val="00BD2CF5"/>
    <w:rsid w:val="00BD2F94"/>
    <w:rsid w:val="00BD3B30"/>
    <w:rsid w:val="00BD4A81"/>
    <w:rsid w:val="00BD7D8B"/>
    <w:rsid w:val="00BE03C0"/>
    <w:rsid w:val="00BE0411"/>
    <w:rsid w:val="00BE052E"/>
    <w:rsid w:val="00BE6C6D"/>
    <w:rsid w:val="00BF2C68"/>
    <w:rsid w:val="00BF345E"/>
    <w:rsid w:val="00BF5570"/>
    <w:rsid w:val="00C0207D"/>
    <w:rsid w:val="00C04168"/>
    <w:rsid w:val="00C042C7"/>
    <w:rsid w:val="00C045D2"/>
    <w:rsid w:val="00C05488"/>
    <w:rsid w:val="00C10CA3"/>
    <w:rsid w:val="00C1367B"/>
    <w:rsid w:val="00C13FA7"/>
    <w:rsid w:val="00C170ED"/>
    <w:rsid w:val="00C21B6C"/>
    <w:rsid w:val="00C26D2B"/>
    <w:rsid w:val="00C311F3"/>
    <w:rsid w:val="00C3282B"/>
    <w:rsid w:val="00C33662"/>
    <w:rsid w:val="00C40145"/>
    <w:rsid w:val="00C40556"/>
    <w:rsid w:val="00C44636"/>
    <w:rsid w:val="00C52909"/>
    <w:rsid w:val="00C5428A"/>
    <w:rsid w:val="00C56C4C"/>
    <w:rsid w:val="00C612D6"/>
    <w:rsid w:val="00C612F5"/>
    <w:rsid w:val="00C618BF"/>
    <w:rsid w:val="00C64350"/>
    <w:rsid w:val="00C73655"/>
    <w:rsid w:val="00C75D40"/>
    <w:rsid w:val="00C769C9"/>
    <w:rsid w:val="00C83A76"/>
    <w:rsid w:val="00C83DA1"/>
    <w:rsid w:val="00C93F91"/>
    <w:rsid w:val="00C94258"/>
    <w:rsid w:val="00C9523E"/>
    <w:rsid w:val="00C95B34"/>
    <w:rsid w:val="00C95F06"/>
    <w:rsid w:val="00CA1732"/>
    <w:rsid w:val="00CA2DFA"/>
    <w:rsid w:val="00CA7E5E"/>
    <w:rsid w:val="00CB09C1"/>
    <w:rsid w:val="00CB1DA6"/>
    <w:rsid w:val="00CB5086"/>
    <w:rsid w:val="00CB6B73"/>
    <w:rsid w:val="00CC1BAC"/>
    <w:rsid w:val="00CC2F8A"/>
    <w:rsid w:val="00CC37F9"/>
    <w:rsid w:val="00CC3908"/>
    <w:rsid w:val="00CC5782"/>
    <w:rsid w:val="00CD0532"/>
    <w:rsid w:val="00CD3C50"/>
    <w:rsid w:val="00CD4C5D"/>
    <w:rsid w:val="00CE3DFC"/>
    <w:rsid w:val="00CE493A"/>
    <w:rsid w:val="00CE5596"/>
    <w:rsid w:val="00CF6B23"/>
    <w:rsid w:val="00CF6FA6"/>
    <w:rsid w:val="00D1078F"/>
    <w:rsid w:val="00D30906"/>
    <w:rsid w:val="00D3115F"/>
    <w:rsid w:val="00D324EB"/>
    <w:rsid w:val="00D327A9"/>
    <w:rsid w:val="00D3500F"/>
    <w:rsid w:val="00D407AF"/>
    <w:rsid w:val="00D44004"/>
    <w:rsid w:val="00D46E89"/>
    <w:rsid w:val="00D5019E"/>
    <w:rsid w:val="00D52515"/>
    <w:rsid w:val="00D52D74"/>
    <w:rsid w:val="00D54FA9"/>
    <w:rsid w:val="00D555A4"/>
    <w:rsid w:val="00D73706"/>
    <w:rsid w:val="00D74C9D"/>
    <w:rsid w:val="00D90D6C"/>
    <w:rsid w:val="00DA0D01"/>
    <w:rsid w:val="00DA2561"/>
    <w:rsid w:val="00DA67C6"/>
    <w:rsid w:val="00DA7454"/>
    <w:rsid w:val="00DB3198"/>
    <w:rsid w:val="00DB6773"/>
    <w:rsid w:val="00DC4CD4"/>
    <w:rsid w:val="00DD2A1D"/>
    <w:rsid w:val="00DD64C0"/>
    <w:rsid w:val="00DE11B2"/>
    <w:rsid w:val="00DE45FB"/>
    <w:rsid w:val="00DE5CF6"/>
    <w:rsid w:val="00DE6018"/>
    <w:rsid w:val="00DF2670"/>
    <w:rsid w:val="00DF72E5"/>
    <w:rsid w:val="00DF735B"/>
    <w:rsid w:val="00E03E41"/>
    <w:rsid w:val="00E04FE9"/>
    <w:rsid w:val="00E21168"/>
    <w:rsid w:val="00E21EE8"/>
    <w:rsid w:val="00E23A99"/>
    <w:rsid w:val="00E273E7"/>
    <w:rsid w:val="00E30012"/>
    <w:rsid w:val="00E30D73"/>
    <w:rsid w:val="00E32A3E"/>
    <w:rsid w:val="00E34CB9"/>
    <w:rsid w:val="00E355D8"/>
    <w:rsid w:val="00E3691F"/>
    <w:rsid w:val="00E406B1"/>
    <w:rsid w:val="00E44776"/>
    <w:rsid w:val="00E44D19"/>
    <w:rsid w:val="00E519E0"/>
    <w:rsid w:val="00E542C4"/>
    <w:rsid w:val="00E60CE2"/>
    <w:rsid w:val="00E60EA3"/>
    <w:rsid w:val="00E61305"/>
    <w:rsid w:val="00E620C7"/>
    <w:rsid w:val="00E6586A"/>
    <w:rsid w:val="00E73998"/>
    <w:rsid w:val="00E863EB"/>
    <w:rsid w:val="00E9419C"/>
    <w:rsid w:val="00E9623A"/>
    <w:rsid w:val="00EA0EF8"/>
    <w:rsid w:val="00EA4D64"/>
    <w:rsid w:val="00EA62A2"/>
    <w:rsid w:val="00EA6F85"/>
    <w:rsid w:val="00EB300C"/>
    <w:rsid w:val="00EB5CBE"/>
    <w:rsid w:val="00EB5F90"/>
    <w:rsid w:val="00EB7189"/>
    <w:rsid w:val="00EC1C61"/>
    <w:rsid w:val="00EC4BF0"/>
    <w:rsid w:val="00EC4C3C"/>
    <w:rsid w:val="00EC4CED"/>
    <w:rsid w:val="00EC5640"/>
    <w:rsid w:val="00ED0EEB"/>
    <w:rsid w:val="00ED14DF"/>
    <w:rsid w:val="00ED2E19"/>
    <w:rsid w:val="00ED3C21"/>
    <w:rsid w:val="00ED6660"/>
    <w:rsid w:val="00ED7D23"/>
    <w:rsid w:val="00EE5600"/>
    <w:rsid w:val="00EE693B"/>
    <w:rsid w:val="00EF0FA5"/>
    <w:rsid w:val="00EF18E8"/>
    <w:rsid w:val="00EF1FDC"/>
    <w:rsid w:val="00EF7125"/>
    <w:rsid w:val="00F001E4"/>
    <w:rsid w:val="00F02608"/>
    <w:rsid w:val="00F0793A"/>
    <w:rsid w:val="00F260C7"/>
    <w:rsid w:val="00F3031D"/>
    <w:rsid w:val="00F31074"/>
    <w:rsid w:val="00F41061"/>
    <w:rsid w:val="00F42C47"/>
    <w:rsid w:val="00F65931"/>
    <w:rsid w:val="00F65A44"/>
    <w:rsid w:val="00F67BAC"/>
    <w:rsid w:val="00F745A2"/>
    <w:rsid w:val="00F74CCF"/>
    <w:rsid w:val="00F7569D"/>
    <w:rsid w:val="00F75F74"/>
    <w:rsid w:val="00F860AC"/>
    <w:rsid w:val="00F920EE"/>
    <w:rsid w:val="00F932C4"/>
    <w:rsid w:val="00F93E02"/>
    <w:rsid w:val="00FA0170"/>
    <w:rsid w:val="00FA5461"/>
    <w:rsid w:val="00FA5881"/>
    <w:rsid w:val="00FB743D"/>
    <w:rsid w:val="00FB7C22"/>
    <w:rsid w:val="00FC4E1A"/>
    <w:rsid w:val="00FC5E67"/>
    <w:rsid w:val="00FD54EE"/>
    <w:rsid w:val="00FD555E"/>
    <w:rsid w:val="00FE1DBF"/>
    <w:rsid w:val="00FE49DE"/>
    <w:rsid w:val="00FE49E4"/>
    <w:rsid w:val="00FE561E"/>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9A68-2B33-4DAC-8C54-E9D65F5F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EBEF3F13</Template>
  <TotalTime>9</TotalTime>
  <Pages>4</Pages>
  <Words>1065</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6243</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Thompson, Jennifer - Oxford City Council</cp:lastModifiedBy>
  <cp:revision>3</cp:revision>
  <cp:lastPrinted>2015-08-10T13:07:00Z</cp:lastPrinted>
  <dcterms:created xsi:type="dcterms:W3CDTF">2015-09-03T12:04:00Z</dcterms:created>
  <dcterms:modified xsi:type="dcterms:W3CDTF">2015-09-07T11:21:00Z</dcterms:modified>
</cp:coreProperties>
</file>